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AB8" w:rsidRPr="008A4525" w:rsidRDefault="0007526B" w:rsidP="008A4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525">
        <w:rPr>
          <w:rFonts w:ascii="Times New Roman" w:hAnsi="Times New Roman" w:cs="Times New Roman"/>
          <w:b/>
          <w:sz w:val="28"/>
          <w:szCs w:val="28"/>
        </w:rPr>
        <w:t>Wielkości dostępnej mocy przyłączeniowej dla źródeł przyłączonych do sieci elektroenergetycznej CIECH Sarzyna S.A. o napięciu wyższym niż 1kV zgodnie z art. 7 ust</w:t>
      </w:r>
      <w:r w:rsidR="008A4525" w:rsidRPr="008A4525">
        <w:rPr>
          <w:rFonts w:ascii="Times New Roman" w:hAnsi="Times New Roman" w:cs="Times New Roman"/>
          <w:b/>
          <w:sz w:val="28"/>
          <w:szCs w:val="28"/>
        </w:rPr>
        <w:t>.8l pkt.2 Ustawy Prawo Energetyczne</w:t>
      </w:r>
    </w:p>
    <w:p w:rsidR="008A4525" w:rsidRDefault="008A4525" w:rsidP="008A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8A4525">
        <w:rPr>
          <w:rFonts w:ascii="Times New Roman" w:hAnsi="Times New Roman" w:cs="Times New Roman"/>
          <w:sz w:val="24"/>
          <w:szCs w:val="24"/>
        </w:rPr>
        <w:t xml:space="preserve">( stan na dzień </w:t>
      </w:r>
      <w:r w:rsidR="00C52EA5">
        <w:rPr>
          <w:rFonts w:ascii="Times New Roman" w:hAnsi="Times New Roman" w:cs="Times New Roman"/>
          <w:sz w:val="24"/>
          <w:szCs w:val="24"/>
        </w:rPr>
        <w:t>0</w:t>
      </w:r>
      <w:r w:rsidR="00105B40">
        <w:rPr>
          <w:rFonts w:ascii="Times New Roman" w:hAnsi="Times New Roman" w:cs="Times New Roman"/>
          <w:sz w:val="24"/>
          <w:szCs w:val="24"/>
        </w:rPr>
        <w:t>2</w:t>
      </w:r>
      <w:r w:rsidR="00C52EA5">
        <w:rPr>
          <w:rFonts w:ascii="Times New Roman" w:hAnsi="Times New Roman" w:cs="Times New Roman"/>
          <w:sz w:val="24"/>
          <w:szCs w:val="24"/>
        </w:rPr>
        <w:t xml:space="preserve">. </w:t>
      </w:r>
      <w:r w:rsidR="00105B40">
        <w:rPr>
          <w:rFonts w:ascii="Times New Roman" w:hAnsi="Times New Roman" w:cs="Times New Roman"/>
          <w:sz w:val="24"/>
          <w:szCs w:val="24"/>
        </w:rPr>
        <w:t>01</w:t>
      </w:r>
      <w:r w:rsidRPr="008A4525">
        <w:rPr>
          <w:rFonts w:ascii="Times New Roman" w:hAnsi="Times New Roman" w:cs="Times New Roman"/>
          <w:sz w:val="24"/>
          <w:szCs w:val="24"/>
        </w:rPr>
        <w:t>.20</w:t>
      </w:r>
      <w:r w:rsidR="00105B40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525">
        <w:rPr>
          <w:rFonts w:ascii="Times New Roman" w:hAnsi="Times New Roman" w:cs="Times New Roman"/>
          <w:sz w:val="24"/>
          <w:szCs w:val="24"/>
        </w:rPr>
        <w:t>r.)</w:t>
      </w:r>
    </w:p>
    <w:p w:rsidR="008A4525" w:rsidRDefault="008A4525" w:rsidP="008A4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525" w:rsidRPr="00556F0A" w:rsidRDefault="008A4525" w:rsidP="008A4525">
      <w:pPr>
        <w:rPr>
          <w:rFonts w:ascii="Times New Roman" w:hAnsi="Times New Roman" w:cs="Times New Roman"/>
          <w:b/>
          <w:sz w:val="24"/>
          <w:szCs w:val="24"/>
        </w:rPr>
      </w:pPr>
      <w:r w:rsidRPr="00556F0A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8A4525" w:rsidRDefault="008A4525" w:rsidP="008A4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nowelizacją ustawy – Prawo energetyczne oraz niektórych innych </w:t>
      </w:r>
      <w:r w:rsidRPr="0004169E">
        <w:rPr>
          <w:rFonts w:ascii="Times New Roman" w:hAnsi="Times New Roman" w:cs="Times New Roman"/>
          <w:sz w:val="24"/>
          <w:szCs w:val="24"/>
        </w:rPr>
        <w:t xml:space="preserve">ustaw ( Dz.U. z 2011 r. Nr 205, poz.1208 z </w:t>
      </w:r>
      <w:proofErr w:type="spellStart"/>
      <w:r w:rsidRPr="0004169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4169E">
        <w:rPr>
          <w:rFonts w:ascii="Times New Roman" w:hAnsi="Times New Roman" w:cs="Times New Roman"/>
          <w:sz w:val="24"/>
          <w:szCs w:val="24"/>
        </w:rPr>
        <w:t xml:space="preserve">. zm.), przedsiębiorstwa energetyczne zajmujące się dystrybucją energii elektrycznej publikują wartości łącznej dostępnej mocy przyłączeniowej </w:t>
      </w:r>
      <w:r>
        <w:rPr>
          <w:rFonts w:ascii="Times New Roman" w:hAnsi="Times New Roman" w:cs="Times New Roman"/>
          <w:sz w:val="24"/>
          <w:szCs w:val="24"/>
        </w:rPr>
        <w:t xml:space="preserve">dla źródeł, a także planowane zmiany tych wartości w okresie kolejnych 5 lat od dnia ich publikacji , dla całej sieci przedsiębiorstwa o napięciu znamionowym powyżej 1 </w:t>
      </w:r>
      <w:proofErr w:type="spellStart"/>
      <w:r>
        <w:rPr>
          <w:rFonts w:ascii="Times New Roman" w:hAnsi="Times New Roman" w:cs="Times New Roman"/>
          <w:sz w:val="24"/>
          <w:szCs w:val="24"/>
        </w:rPr>
        <w:t>kV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podziałem na stacje elektroenergetyczne lub ich grupy wchodzące w skład sieci o napięciu znamionowym 110kV i wyższym. Wartość łącznej mocy przyłączeniowej jest pomniejszana o moc wynikającą z wydanych i ważnych warunków przyłączenia źródeł do sieci elektroenergetycznej.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134"/>
        <w:gridCol w:w="1134"/>
        <w:gridCol w:w="1134"/>
        <w:gridCol w:w="1134"/>
        <w:gridCol w:w="1134"/>
      </w:tblGrid>
      <w:tr w:rsidR="00556F0A" w:rsidTr="00BA17A1">
        <w:tc>
          <w:tcPr>
            <w:tcW w:w="562" w:type="dxa"/>
            <w:vMerge w:val="restart"/>
          </w:tcPr>
          <w:p w:rsidR="00556F0A" w:rsidRPr="00556F0A" w:rsidRDefault="00556F0A" w:rsidP="008A4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vMerge w:val="restart"/>
          </w:tcPr>
          <w:p w:rsidR="00556F0A" w:rsidRPr="00556F0A" w:rsidRDefault="00556F0A" w:rsidP="008A4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Lokalizacja miejsca przyłączenia</w:t>
            </w:r>
          </w:p>
        </w:tc>
        <w:tc>
          <w:tcPr>
            <w:tcW w:w="6804" w:type="dxa"/>
            <w:gridSpan w:val="6"/>
          </w:tcPr>
          <w:p w:rsidR="00556F0A" w:rsidRPr="00556F0A" w:rsidRDefault="00556F0A" w:rsidP="00556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ROK [MW]</w:t>
            </w:r>
          </w:p>
        </w:tc>
      </w:tr>
      <w:tr w:rsidR="00E742D0" w:rsidTr="00BA17A1">
        <w:tc>
          <w:tcPr>
            <w:tcW w:w="562" w:type="dxa"/>
            <w:vMerge/>
          </w:tcPr>
          <w:p w:rsidR="00E742D0" w:rsidRPr="00556F0A" w:rsidRDefault="00E742D0" w:rsidP="00E74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42D0" w:rsidRPr="00556F0A" w:rsidRDefault="00E742D0" w:rsidP="00E74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2D0" w:rsidRPr="00556F0A" w:rsidRDefault="00E742D0" w:rsidP="00E74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E742D0" w:rsidRPr="00556F0A" w:rsidRDefault="00E742D0" w:rsidP="00E74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E742D0" w:rsidRPr="00556F0A" w:rsidRDefault="00E742D0" w:rsidP="00E74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E742D0" w:rsidRPr="00556F0A" w:rsidRDefault="00E742D0" w:rsidP="00E74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E742D0" w:rsidRPr="00556F0A" w:rsidRDefault="00E742D0" w:rsidP="00E74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E742D0" w:rsidRPr="00556F0A" w:rsidRDefault="00E742D0" w:rsidP="00E74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E742D0" w:rsidTr="00BA17A1">
        <w:trPr>
          <w:trHeight w:val="524"/>
        </w:trPr>
        <w:tc>
          <w:tcPr>
            <w:tcW w:w="562" w:type="dxa"/>
          </w:tcPr>
          <w:p w:rsidR="00E742D0" w:rsidRDefault="00E742D0" w:rsidP="00E7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742D0" w:rsidRDefault="00E742D0" w:rsidP="00E7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134" w:type="dxa"/>
          </w:tcPr>
          <w:p w:rsidR="00E742D0" w:rsidRDefault="00E742D0" w:rsidP="00E7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742D0" w:rsidRDefault="00E742D0" w:rsidP="00E7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742D0" w:rsidRDefault="00E742D0" w:rsidP="00E7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742D0" w:rsidRDefault="00E742D0" w:rsidP="00E7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742D0" w:rsidRDefault="00E742D0" w:rsidP="00E7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742D0" w:rsidRDefault="00E742D0" w:rsidP="00E7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A4525" w:rsidRPr="008A4525" w:rsidRDefault="008A4525" w:rsidP="008A4525">
      <w:pPr>
        <w:rPr>
          <w:rFonts w:ascii="Times New Roman" w:hAnsi="Times New Roman" w:cs="Times New Roman"/>
          <w:sz w:val="24"/>
          <w:szCs w:val="24"/>
        </w:rPr>
      </w:pPr>
    </w:p>
    <w:p w:rsidR="008A4525" w:rsidRPr="00556F0A" w:rsidRDefault="00556F0A">
      <w:pPr>
        <w:rPr>
          <w:rFonts w:ascii="Times New Roman" w:hAnsi="Times New Roman" w:cs="Times New Roman"/>
          <w:sz w:val="24"/>
          <w:szCs w:val="24"/>
        </w:rPr>
      </w:pPr>
      <w:r w:rsidRPr="00556F0A">
        <w:rPr>
          <w:rFonts w:ascii="Times New Roman" w:hAnsi="Times New Roman" w:cs="Times New Roman"/>
          <w:sz w:val="24"/>
          <w:szCs w:val="24"/>
        </w:rPr>
        <w:t>Zgodnie z ustawą Prawo energety</w:t>
      </w:r>
      <w:r w:rsidR="008D0B73">
        <w:rPr>
          <w:rFonts w:ascii="Times New Roman" w:hAnsi="Times New Roman" w:cs="Times New Roman"/>
          <w:sz w:val="24"/>
          <w:szCs w:val="24"/>
        </w:rPr>
        <w:t xml:space="preserve">czne informacje te </w:t>
      </w:r>
      <w:r w:rsidRPr="00556F0A">
        <w:rPr>
          <w:rFonts w:ascii="Times New Roman" w:hAnsi="Times New Roman" w:cs="Times New Roman"/>
          <w:sz w:val="24"/>
          <w:szCs w:val="24"/>
        </w:rPr>
        <w:t xml:space="preserve"> będą aktualizowane co najmniej raz na kwartał.</w:t>
      </w:r>
    </w:p>
    <w:sectPr w:rsidR="008A4525" w:rsidRPr="0055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EC"/>
    <w:rsid w:val="0004169E"/>
    <w:rsid w:val="0007526B"/>
    <w:rsid w:val="00105B40"/>
    <w:rsid w:val="00455BEC"/>
    <w:rsid w:val="00556F0A"/>
    <w:rsid w:val="008A4525"/>
    <w:rsid w:val="008D0B73"/>
    <w:rsid w:val="00BA17A1"/>
    <w:rsid w:val="00C52EA5"/>
    <w:rsid w:val="00CE3AB8"/>
    <w:rsid w:val="00D95C0A"/>
    <w:rsid w:val="00E7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813A"/>
  <w15:chartTrackingRefBased/>
  <w15:docId w15:val="{9DBD55B5-8000-4091-914D-1A817D52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Ciech Chemical Group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Tetiurka Bozena</dc:creator>
  <cp:keywords/>
  <dc:description/>
  <cp:lastModifiedBy>Tetiurka Bozena</cp:lastModifiedBy>
  <cp:revision>9</cp:revision>
  <dcterms:created xsi:type="dcterms:W3CDTF">2017-11-14T09:47:00Z</dcterms:created>
  <dcterms:modified xsi:type="dcterms:W3CDTF">2020-01-07T11:40:00Z</dcterms:modified>
</cp:coreProperties>
</file>