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886"/>
        <w:tblW w:w="0" w:type="auto"/>
        <w:tblLook w:val="04A0" w:firstRow="1" w:lastRow="0" w:firstColumn="1" w:lastColumn="0" w:noHBand="0" w:noVBand="1"/>
      </w:tblPr>
      <w:tblGrid>
        <w:gridCol w:w="4675"/>
        <w:gridCol w:w="4675"/>
      </w:tblGrid>
      <w:tr w:rsidR="00A2785E" w:rsidRPr="001C0908" w:rsidTr="00D30714">
        <w:tc>
          <w:tcPr>
            <w:tcW w:w="4675" w:type="dxa"/>
            <w:tcBorders>
              <w:top w:val="nil"/>
              <w:left w:val="nil"/>
              <w:bottom w:val="nil"/>
              <w:right w:val="nil"/>
            </w:tcBorders>
          </w:tcPr>
          <w:p w:rsidR="00A2785E" w:rsidRDefault="00A2785E" w:rsidP="008233CA">
            <w:pPr>
              <w:pStyle w:val="Body"/>
              <w:keepNext/>
              <w:keepLines/>
              <w:widowControl w:val="0"/>
              <w:jc w:val="center"/>
              <w:rPr>
                <w:b/>
                <w:lang w:val="ro-RO"/>
              </w:rPr>
            </w:pPr>
            <w:r w:rsidRPr="001C0908">
              <w:rPr>
                <w:b/>
                <w:lang w:val="ro-RO"/>
              </w:rPr>
              <w:t>Material informativ</w:t>
            </w:r>
            <w:r w:rsidRPr="001C0908">
              <w:rPr>
                <w:b/>
                <w:lang w:val="ro-RO"/>
              </w:rPr>
              <w:br/>
              <w:t xml:space="preserve"> pentru Adunarea Extraordinara a Actionarilor a CIECH Soda Romania S.A., convocata pentru data de 30 mai 2019</w:t>
            </w:r>
          </w:p>
          <w:p w:rsidR="008233CA" w:rsidRPr="008233CA" w:rsidRDefault="008233CA" w:rsidP="008233CA">
            <w:pPr>
              <w:pStyle w:val="Body"/>
              <w:keepNext/>
              <w:keepLines/>
              <w:widowControl w:val="0"/>
              <w:jc w:val="center"/>
              <w:rPr>
                <w:b/>
                <w:lang w:val="ro-RO"/>
              </w:rPr>
            </w:pPr>
          </w:p>
        </w:tc>
        <w:tc>
          <w:tcPr>
            <w:tcW w:w="4675" w:type="dxa"/>
            <w:tcBorders>
              <w:top w:val="nil"/>
              <w:left w:val="nil"/>
              <w:bottom w:val="nil"/>
              <w:right w:val="nil"/>
            </w:tcBorders>
          </w:tcPr>
          <w:p w:rsidR="00A2785E" w:rsidRPr="001C0908" w:rsidRDefault="00A2785E" w:rsidP="00A2785E">
            <w:pPr>
              <w:pStyle w:val="Body"/>
              <w:keepNext/>
              <w:keepLines/>
              <w:widowControl w:val="0"/>
              <w:jc w:val="center"/>
            </w:pPr>
            <w:r w:rsidRPr="001C0908">
              <w:rPr>
                <w:b/>
              </w:rPr>
              <w:t>Information notice for the Extraordinary General Meeting of Shareholders of CIECH Soda Romania S.A. summoned for 30 May 2019</w:t>
            </w:r>
          </w:p>
        </w:tc>
      </w:tr>
      <w:tr w:rsidR="00A2785E" w:rsidRPr="001C0908" w:rsidTr="0069691F">
        <w:tc>
          <w:tcPr>
            <w:tcW w:w="4675" w:type="dxa"/>
            <w:tcBorders>
              <w:top w:val="nil"/>
              <w:left w:val="nil"/>
              <w:bottom w:val="nil"/>
              <w:right w:val="nil"/>
            </w:tcBorders>
          </w:tcPr>
          <w:p w:rsidR="00A2785E" w:rsidRPr="001C0908" w:rsidRDefault="00A2785E" w:rsidP="00A2785E">
            <w:pPr>
              <w:pStyle w:val="Heading1"/>
              <w:widowControl w:val="0"/>
              <w:numPr>
                <w:ilvl w:val="0"/>
                <w:numId w:val="2"/>
              </w:numPr>
              <w:spacing w:after="0"/>
              <w:ind w:hanging="738"/>
              <w:outlineLvl w:val="0"/>
              <w:rPr>
                <w:lang w:val="ro-RO"/>
              </w:rPr>
            </w:pPr>
            <w:r w:rsidRPr="001C0908">
              <w:rPr>
                <w:lang w:val="ro-RO"/>
              </w:rPr>
              <w:t>Preambul</w:t>
            </w:r>
          </w:p>
          <w:p w:rsidR="00A2785E" w:rsidRPr="001C0908" w:rsidRDefault="00A2785E" w:rsidP="00A2785E">
            <w:pPr>
              <w:rPr>
                <w:lang w:val="ro-RO"/>
              </w:rPr>
            </w:pPr>
          </w:p>
        </w:tc>
        <w:tc>
          <w:tcPr>
            <w:tcW w:w="4675" w:type="dxa"/>
            <w:tcBorders>
              <w:top w:val="nil"/>
              <w:left w:val="nil"/>
              <w:bottom w:val="nil"/>
              <w:right w:val="nil"/>
            </w:tcBorders>
          </w:tcPr>
          <w:p w:rsidR="00A2785E" w:rsidRPr="001C0908" w:rsidRDefault="00A2785E" w:rsidP="00A2785E">
            <w:pPr>
              <w:pStyle w:val="Heading1"/>
              <w:widowControl w:val="0"/>
              <w:spacing w:after="0"/>
              <w:outlineLvl w:val="0"/>
            </w:pPr>
            <w:r w:rsidRPr="001C0908">
              <w:t>Preamble</w:t>
            </w:r>
          </w:p>
          <w:p w:rsidR="00A2785E" w:rsidRPr="001C0908" w:rsidRDefault="00A2785E" w:rsidP="00A2785E">
            <w:pPr>
              <w:rPr>
                <w:lang w:val="en-GB"/>
              </w:rPr>
            </w:pPr>
          </w:p>
        </w:tc>
      </w:tr>
      <w:tr w:rsidR="00A2785E" w:rsidRPr="001C0908" w:rsidTr="0069691F">
        <w:tc>
          <w:tcPr>
            <w:tcW w:w="4675" w:type="dxa"/>
            <w:tcBorders>
              <w:top w:val="nil"/>
              <w:left w:val="nil"/>
              <w:bottom w:val="nil"/>
              <w:right w:val="nil"/>
            </w:tcBorders>
          </w:tcPr>
          <w:p w:rsidR="00A2785E" w:rsidRPr="0069691F" w:rsidRDefault="00A2785E" w:rsidP="0069691F">
            <w:pPr>
              <w:keepNext/>
              <w:keepLines/>
              <w:widowControl w:val="0"/>
              <w:spacing w:after="200" w:line="320" w:lineRule="exact"/>
              <w:ind w:left="-18" w:right="26" w:firstLine="18"/>
              <w:jc w:val="both"/>
              <w:rPr>
                <w:rFonts w:ascii="Georgia" w:eastAsiaTheme="majorEastAsia" w:hAnsi="Georgia" w:cstheme="majorBidi"/>
                <w:iCs/>
                <w:color w:val="000000" w:themeColor="text1"/>
                <w:szCs w:val="26"/>
                <w:lang w:val="ro-RO"/>
              </w:rPr>
            </w:pPr>
            <w:r w:rsidRPr="001C0908">
              <w:rPr>
                <w:rFonts w:ascii="Georgia" w:eastAsiaTheme="majorEastAsia" w:hAnsi="Georgia" w:cstheme="majorBidi"/>
                <w:iCs/>
                <w:color w:val="000000" w:themeColor="text1"/>
                <w:szCs w:val="26"/>
                <w:lang w:val="ro-RO"/>
              </w:rPr>
              <w:t xml:space="preserve">Avand in vedere </w:t>
            </w:r>
            <w:r w:rsidR="00980767">
              <w:t xml:space="preserve"> </w:t>
            </w:r>
            <w:r w:rsidR="00980767">
              <w:rPr>
                <w:rFonts w:ascii="Georgia" w:eastAsiaTheme="majorEastAsia" w:hAnsi="Georgia" w:cstheme="majorBidi"/>
                <w:iCs/>
                <w:color w:val="000000" w:themeColor="text1"/>
                <w:szCs w:val="26"/>
                <w:lang w:val="ro-RO"/>
              </w:rPr>
              <w:t>necesitatea incheierii</w:t>
            </w:r>
            <w:r w:rsidRPr="001C0908">
              <w:rPr>
                <w:rFonts w:ascii="Georgia" w:eastAsiaTheme="majorEastAsia" w:hAnsi="Georgia" w:cstheme="majorBidi"/>
                <w:iCs/>
                <w:color w:val="000000" w:themeColor="text1"/>
                <w:szCs w:val="26"/>
                <w:lang w:val="ro-RO"/>
              </w:rPr>
              <w:t xml:space="preserve"> </w:t>
            </w:r>
            <w:r w:rsidR="00980767">
              <w:rPr>
                <w:rFonts w:ascii="Georgia" w:eastAsiaTheme="majorEastAsia" w:hAnsi="Georgia" w:cstheme="majorBidi"/>
                <w:iCs/>
                <w:color w:val="000000" w:themeColor="text1"/>
                <w:szCs w:val="26"/>
                <w:lang w:val="ro-RO"/>
              </w:rPr>
              <w:t xml:space="preserve">de catre </w:t>
            </w:r>
            <w:r w:rsidRPr="001C0908">
              <w:rPr>
                <w:rFonts w:ascii="Georgia" w:eastAsiaTheme="majorEastAsia" w:hAnsi="Georgia" w:cstheme="majorBidi"/>
                <w:iCs/>
                <w:color w:val="000000" w:themeColor="text1"/>
                <w:szCs w:val="26"/>
                <w:lang w:val="ro-RO"/>
              </w:rPr>
              <w:t>Ciech Soda Romania S.A. („</w:t>
            </w:r>
            <w:r w:rsidRPr="001C0908">
              <w:rPr>
                <w:rFonts w:ascii="Georgia" w:eastAsiaTheme="majorEastAsia" w:hAnsi="Georgia" w:cstheme="majorBidi"/>
                <w:b/>
                <w:iCs/>
                <w:color w:val="000000" w:themeColor="text1"/>
                <w:szCs w:val="26"/>
                <w:lang w:val="ro-RO"/>
              </w:rPr>
              <w:t>Societatea</w:t>
            </w:r>
            <w:r w:rsidRPr="001C0908">
              <w:rPr>
                <w:rFonts w:ascii="Georgia" w:eastAsiaTheme="majorEastAsia" w:hAnsi="Georgia" w:cstheme="majorBidi"/>
                <w:iCs/>
                <w:color w:val="000000" w:themeColor="text1"/>
                <w:szCs w:val="26"/>
                <w:lang w:val="ro-RO"/>
              </w:rPr>
              <w:t xml:space="preserve">”) </w:t>
            </w:r>
            <w:r w:rsidR="00980767">
              <w:rPr>
                <w:rFonts w:ascii="Georgia" w:eastAsiaTheme="majorEastAsia" w:hAnsi="Georgia" w:cstheme="majorBidi"/>
                <w:iCs/>
                <w:color w:val="000000" w:themeColor="text1"/>
                <w:szCs w:val="26"/>
                <w:lang w:val="ro-RO"/>
              </w:rPr>
              <w:t xml:space="preserve">a </w:t>
            </w:r>
            <w:r w:rsidRPr="001C0908">
              <w:rPr>
                <w:rFonts w:ascii="Georgia" w:eastAsiaTheme="majorEastAsia" w:hAnsi="Georgia" w:cstheme="majorBidi"/>
                <w:iCs/>
                <w:color w:val="000000" w:themeColor="text1"/>
                <w:szCs w:val="26"/>
                <w:lang w:val="ro-RO"/>
              </w:rPr>
              <w:t>trei (3) contracte de facilitate de credit de tip revolving („</w:t>
            </w:r>
            <w:r w:rsidRPr="001C0908">
              <w:rPr>
                <w:rFonts w:ascii="Georgia" w:eastAsiaTheme="majorEastAsia" w:hAnsi="Georgia" w:cstheme="majorBidi"/>
                <w:b/>
                <w:iCs/>
                <w:color w:val="000000" w:themeColor="text1"/>
                <w:szCs w:val="26"/>
                <w:lang w:val="ro-RO"/>
              </w:rPr>
              <w:t>Contractele de Facilitate de Credit de tip Revolving</w:t>
            </w:r>
            <w:r w:rsidRPr="001C0908">
              <w:rPr>
                <w:rFonts w:ascii="Georgia" w:eastAsiaTheme="majorEastAsia" w:hAnsi="Georgia" w:cstheme="majorBidi"/>
                <w:iCs/>
                <w:color w:val="000000" w:themeColor="text1"/>
                <w:szCs w:val="26"/>
                <w:lang w:val="ro-RO"/>
              </w:rPr>
              <w:t xml:space="preserve">”) guvernate de legea </w:t>
            </w:r>
            <w:r w:rsidR="00711661" w:rsidRPr="001C0908">
              <w:rPr>
                <w:rFonts w:ascii="Georgia" w:eastAsiaTheme="majorEastAsia" w:hAnsi="Georgia" w:cstheme="majorBidi"/>
                <w:iCs/>
                <w:color w:val="000000" w:themeColor="text1"/>
                <w:szCs w:val="26"/>
                <w:lang w:val="ro-RO"/>
              </w:rPr>
              <w:t>poloneza, intre</w:t>
            </w:r>
            <w:r w:rsidRPr="001C0908">
              <w:rPr>
                <w:rFonts w:ascii="Georgia" w:eastAsiaTheme="majorEastAsia" w:hAnsi="Georgia" w:cstheme="majorBidi"/>
                <w:iCs/>
                <w:color w:val="000000" w:themeColor="text1"/>
                <w:szCs w:val="26"/>
                <w:lang w:val="ro-RO"/>
              </w:rPr>
              <w:t xml:space="preserve"> Ciech S.A. in calitate de imprumutat si anumite filiale ale Ciech S.A., respectiv Societatea, CIECH Soda Polska S.A., CIECH Sarzyna S.A., Ciech Energy Deutschland GmbH si CIECH Soda Deutschland GmbH &amp; Co. KG</w:t>
            </w:r>
            <w:r w:rsidR="004F37DD">
              <w:rPr>
                <w:rFonts w:ascii="Georgia" w:eastAsiaTheme="majorEastAsia" w:hAnsi="Georgia" w:cstheme="majorBidi"/>
                <w:iCs/>
                <w:color w:val="000000" w:themeColor="text1"/>
                <w:szCs w:val="26"/>
                <w:lang w:val="ro-RO"/>
              </w:rPr>
              <w:t>,</w:t>
            </w:r>
            <w:r w:rsidRPr="001C0908">
              <w:rPr>
                <w:rFonts w:ascii="Georgia" w:eastAsiaTheme="majorEastAsia" w:hAnsi="Georgia" w:cstheme="majorBidi"/>
                <w:iCs/>
                <w:color w:val="000000" w:themeColor="text1"/>
                <w:szCs w:val="26"/>
                <w:lang w:val="ro-RO"/>
              </w:rPr>
              <w:t xml:space="preserve"> in calitate de garanti originari („</w:t>
            </w:r>
            <w:r w:rsidRPr="001C0908">
              <w:rPr>
                <w:rFonts w:ascii="Georgia" w:eastAsiaTheme="majorEastAsia" w:hAnsi="Georgia" w:cstheme="majorBidi"/>
                <w:b/>
                <w:iCs/>
                <w:color w:val="000000" w:themeColor="text1"/>
                <w:szCs w:val="26"/>
                <w:lang w:val="ro-RO"/>
              </w:rPr>
              <w:t>Garantii</w:t>
            </w:r>
            <w:r w:rsidRPr="001C0908">
              <w:rPr>
                <w:rFonts w:ascii="Georgia" w:eastAsiaTheme="majorEastAsia" w:hAnsi="Georgia" w:cstheme="majorBidi"/>
                <w:iCs/>
                <w:color w:val="000000" w:themeColor="text1"/>
                <w:szCs w:val="26"/>
                <w:lang w:val="ro-RO"/>
              </w:rPr>
              <w:t>”) si Bank Polska Kasa Opieki S.A., Bank BGŻ BNP Paribas Bank Polska S.A. si Banco Sabadell S.A., London Branch (fiecare separat), in calitate de creditori („</w:t>
            </w:r>
            <w:r w:rsidRPr="001C0908">
              <w:rPr>
                <w:rFonts w:ascii="Georgia" w:eastAsiaTheme="majorEastAsia" w:hAnsi="Georgia" w:cstheme="majorBidi"/>
                <w:b/>
                <w:iCs/>
                <w:color w:val="000000" w:themeColor="text1"/>
                <w:szCs w:val="26"/>
                <w:lang w:val="ro-RO"/>
              </w:rPr>
              <w:t>Creditorii</w:t>
            </w:r>
            <w:r w:rsidRPr="001C0908">
              <w:rPr>
                <w:rFonts w:ascii="Georgia" w:eastAsiaTheme="majorEastAsia" w:hAnsi="Georgia" w:cstheme="majorBidi"/>
                <w:iCs/>
                <w:color w:val="000000" w:themeColor="text1"/>
                <w:szCs w:val="26"/>
                <w:lang w:val="ro-RO"/>
              </w:rPr>
              <w:t>”),</w:t>
            </w:r>
          </w:p>
        </w:tc>
        <w:tc>
          <w:tcPr>
            <w:tcW w:w="4675" w:type="dxa"/>
            <w:tcBorders>
              <w:top w:val="nil"/>
              <w:left w:val="nil"/>
              <w:bottom w:val="nil"/>
              <w:right w:val="nil"/>
            </w:tcBorders>
          </w:tcPr>
          <w:p w:rsidR="00A2785E" w:rsidRPr="0069691F" w:rsidRDefault="00980767" w:rsidP="0069691F">
            <w:pPr>
              <w:pStyle w:val="Body1"/>
              <w:keepNext/>
              <w:keepLines/>
              <w:widowControl w:val="0"/>
              <w:ind w:left="0"/>
              <w:rPr>
                <w:color w:val="000000"/>
                <w:szCs w:val="22"/>
              </w:rPr>
            </w:pPr>
            <w:r>
              <w:rPr>
                <w:szCs w:val="22"/>
              </w:rPr>
              <w:t xml:space="preserve">Taking into account the necessity for </w:t>
            </w:r>
            <w:proofErr w:type="spellStart"/>
            <w:r w:rsidR="00A2785E" w:rsidRPr="001C0908">
              <w:t>Ciech</w:t>
            </w:r>
            <w:proofErr w:type="spellEnd"/>
            <w:r w:rsidR="00A2785E" w:rsidRPr="001C0908">
              <w:t xml:space="preserve"> Soda Romania S.A. (</w:t>
            </w:r>
            <w:r w:rsidR="00A2785E" w:rsidRPr="001C0908">
              <w:rPr>
                <w:szCs w:val="22"/>
              </w:rPr>
              <w:t>the “</w:t>
            </w:r>
            <w:r w:rsidR="00A2785E" w:rsidRPr="001C0908">
              <w:rPr>
                <w:b/>
                <w:szCs w:val="22"/>
              </w:rPr>
              <w:t>Company</w:t>
            </w:r>
            <w:r w:rsidR="00A2785E" w:rsidRPr="001C0908">
              <w:rPr>
                <w:szCs w:val="22"/>
              </w:rPr>
              <w:t xml:space="preserve">”) </w:t>
            </w:r>
            <w:r>
              <w:rPr>
                <w:color w:val="000000"/>
                <w:szCs w:val="22"/>
              </w:rPr>
              <w:t xml:space="preserve">to enter </w:t>
            </w:r>
            <w:r w:rsidR="00A2785E" w:rsidRPr="001C0908">
              <w:rPr>
                <w:color w:val="000000"/>
                <w:szCs w:val="22"/>
              </w:rPr>
              <w:t>into three (3) revolving credit facility agreements (the “</w:t>
            </w:r>
            <w:r w:rsidR="00A2785E" w:rsidRPr="001C0908">
              <w:rPr>
                <w:b/>
                <w:bCs/>
                <w:color w:val="000000"/>
                <w:szCs w:val="22"/>
              </w:rPr>
              <w:t>Revolving Credit Facility Agreements”</w:t>
            </w:r>
            <w:r w:rsidR="00A2785E" w:rsidRPr="001C0908">
              <w:rPr>
                <w:color w:val="000000"/>
                <w:szCs w:val="22"/>
              </w:rPr>
              <w:t>), g</w:t>
            </w:r>
            <w:r w:rsidR="00711661" w:rsidRPr="001C0908">
              <w:rPr>
                <w:color w:val="000000"/>
                <w:szCs w:val="22"/>
              </w:rPr>
              <w:t xml:space="preserve">overned by Polish Law, between </w:t>
            </w:r>
            <w:proofErr w:type="spellStart"/>
            <w:r w:rsidR="00A2785E" w:rsidRPr="001C0908">
              <w:rPr>
                <w:color w:val="000000"/>
                <w:szCs w:val="22"/>
              </w:rPr>
              <w:t>Ciech</w:t>
            </w:r>
            <w:proofErr w:type="spellEnd"/>
            <w:r w:rsidR="004F37DD">
              <w:rPr>
                <w:color w:val="000000"/>
                <w:szCs w:val="22"/>
              </w:rPr>
              <w:t xml:space="preserve"> S.A., as borrower,</w:t>
            </w:r>
            <w:r w:rsidR="00A2785E" w:rsidRPr="001C0908">
              <w:rPr>
                <w:color w:val="000000"/>
                <w:szCs w:val="22"/>
              </w:rPr>
              <w:t xml:space="preserve"> and certain subsidiaries of </w:t>
            </w:r>
            <w:proofErr w:type="spellStart"/>
            <w:r w:rsidR="00A2785E" w:rsidRPr="001C0908">
              <w:rPr>
                <w:color w:val="000000"/>
                <w:szCs w:val="22"/>
              </w:rPr>
              <w:t>Ciech</w:t>
            </w:r>
            <w:proofErr w:type="spellEnd"/>
            <w:r w:rsidR="00A2785E" w:rsidRPr="001C0908">
              <w:rPr>
                <w:color w:val="000000"/>
                <w:szCs w:val="22"/>
              </w:rPr>
              <w:t xml:space="preserve"> S.A., namely the</w:t>
            </w:r>
            <w:r w:rsidR="00711661" w:rsidRPr="001C0908">
              <w:rPr>
                <w:color w:val="000000"/>
                <w:szCs w:val="22"/>
              </w:rPr>
              <w:t xml:space="preserve"> Company,</w:t>
            </w:r>
            <w:r w:rsidR="00711661" w:rsidRPr="001C0908">
              <w:t xml:space="preserve"> CIECH Soda </w:t>
            </w:r>
            <w:proofErr w:type="spellStart"/>
            <w:r w:rsidR="00711661" w:rsidRPr="001C0908">
              <w:rPr>
                <w:iCs w:val="0"/>
              </w:rPr>
              <w:t>Polska</w:t>
            </w:r>
            <w:proofErr w:type="spellEnd"/>
            <w:r w:rsidR="00711661" w:rsidRPr="001C0908">
              <w:rPr>
                <w:iCs w:val="0"/>
              </w:rPr>
              <w:t xml:space="preserve"> S.A., CIECH </w:t>
            </w:r>
            <w:proofErr w:type="spellStart"/>
            <w:r w:rsidR="00711661" w:rsidRPr="001C0908">
              <w:rPr>
                <w:iCs w:val="0"/>
              </w:rPr>
              <w:t>Sarzyna</w:t>
            </w:r>
            <w:proofErr w:type="spellEnd"/>
            <w:r w:rsidR="00711661" w:rsidRPr="001C0908">
              <w:rPr>
                <w:iCs w:val="0"/>
              </w:rPr>
              <w:t xml:space="preserve"> S.A.</w:t>
            </w:r>
            <w:r w:rsidR="00711661" w:rsidRPr="001C0908">
              <w:t>,</w:t>
            </w:r>
            <w:r w:rsidR="00711661" w:rsidRPr="001C0908">
              <w:rPr>
                <w:iCs w:val="0"/>
              </w:rPr>
              <w:t xml:space="preserve"> </w:t>
            </w:r>
            <w:proofErr w:type="spellStart"/>
            <w:r w:rsidR="00711661" w:rsidRPr="001C0908">
              <w:rPr>
                <w:iCs w:val="0"/>
              </w:rPr>
              <w:t>Ciech</w:t>
            </w:r>
            <w:proofErr w:type="spellEnd"/>
            <w:r w:rsidR="00711661" w:rsidRPr="001C0908">
              <w:rPr>
                <w:iCs w:val="0"/>
              </w:rPr>
              <w:t xml:space="preserve"> Energy Deutschland GmbH and</w:t>
            </w:r>
            <w:r w:rsidR="00711661" w:rsidRPr="001C0908">
              <w:t xml:space="preserve"> CIECH Soda Deutschland GmbH &amp; Co. KG</w:t>
            </w:r>
            <w:r w:rsidR="004F37DD">
              <w:t>,</w:t>
            </w:r>
            <w:r w:rsidR="00711661" w:rsidRPr="001C0908">
              <w:rPr>
                <w:color w:val="000000"/>
                <w:szCs w:val="22"/>
              </w:rPr>
              <w:t xml:space="preserve"> </w:t>
            </w:r>
            <w:r w:rsidR="00A2785E" w:rsidRPr="001C0908">
              <w:rPr>
                <w:color w:val="000000"/>
                <w:szCs w:val="22"/>
              </w:rPr>
              <w:t>as original guarantors (the “</w:t>
            </w:r>
            <w:r w:rsidR="00A2785E" w:rsidRPr="001C0908">
              <w:rPr>
                <w:b/>
                <w:color w:val="000000"/>
                <w:szCs w:val="22"/>
              </w:rPr>
              <w:t>Guarantors</w:t>
            </w:r>
            <w:r w:rsidR="00A2785E" w:rsidRPr="001C0908">
              <w:rPr>
                <w:color w:val="000000"/>
                <w:szCs w:val="22"/>
              </w:rPr>
              <w:t xml:space="preserve">”) and Bank </w:t>
            </w:r>
            <w:proofErr w:type="spellStart"/>
            <w:r w:rsidR="00A2785E" w:rsidRPr="001C0908">
              <w:rPr>
                <w:color w:val="000000"/>
                <w:szCs w:val="22"/>
              </w:rPr>
              <w:t>Polska</w:t>
            </w:r>
            <w:proofErr w:type="spellEnd"/>
            <w:r w:rsidR="00A2785E" w:rsidRPr="001C0908">
              <w:rPr>
                <w:color w:val="000000"/>
                <w:szCs w:val="22"/>
              </w:rPr>
              <w:t xml:space="preserve"> </w:t>
            </w:r>
            <w:proofErr w:type="spellStart"/>
            <w:r w:rsidR="00A2785E" w:rsidRPr="001C0908">
              <w:rPr>
                <w:color w:val="000000"/>
                <w:szCs w:val="22"/>
              </w:rPr>
              <w:t>Kasa</w:t>
            </w:r>
            <w:proofErr w:type="spellEnd"/>
            <w:r w:rsidR="00A2785E" w:rsidRPr="001C0908">
              <w:rPr>
                <w:color w:val="000000"/>
                <w:szCs w:val="22"/>
              </w:rPr>
              <w:t xml:space="preserve"> </w:t>
            </w:r>
            <w:proofErr w:type="spellStart"/>
            <w:r w:rsidR="00A2785E" w:rsidRPr="001C0908">
              <w:rPr>
                <w:color w:val="000000"/>
                <w:szCs w:val="22"/>
              </w:rPr>
              <w:t>Opieki</w:t>
            </w:r>
            <w:proofErr w:type="spellEnd"/>
            <w:r w:rsidR="00A2785E" w:rsidRPr="001C0908">
              <w:rPr>
                <w:color w:val="000000"/>
                <w:szCs w:val="22"/>
              </w:rPr>
              <w:t xml:space="preserve"> S.A., BNP Paribas Bank </w:t>
            </w:r>
            <w:proofErr w:type="spellStart"/>
            <w:r w:rsidR="00A2785E" w:rsidRPr="001C0908">
              <w:rPr>
                <w:color w:val="000000"/>
                <w:szCs w:val="22"/>
              </w:rPr>
              <w:t>Polska</w:t>
            </w:r>
            <w:proofErr w:type="spellEnd"/>
            <w:r w:rsidR="00A2785E" w:rsidRPr="001C0908">
              <w:rPr>
                <w:color w:val="000000"/>
                <w:szCs w:val="22"/>
              </w:rPr>
              <w:t xml:space="preserve"> S.A. and Banco Sabadell S.A., London Branch (each separately) as lenders (the “</w:t>
            </w:r>
            <w:r w:rsidR="00A2785E" w:rsidRPr="001C0908">
              <w:rPr>
                <w:b/>
                <w:color w:val="000000"/>
                <w:szCs w:val="22"/>
              </w:rPr>
              <w:t>Lenders</w:t>
            </w:r>
            <w:r w:rsidR="00A2785E" w:rsidRPr="001C0908">
              <w:rPr>
                <w:color w:val="000000"/>
                <w:szCs w:val="22"/>
              </w:rPr>
              <w:t>”),</w:t>
            </w:r>
          </w:p>
        </w:tc>
      </w:tr>
      <w:tr w:rsidR="0069691F" w:rsidRPr="001C0908" w:rsidTr="0069691F">
        <w:tc>
          <w:tcPr>
            <w:tcW w:w="4675" w:type="dxa"/>
            <w:tcBorders>
              <w:top w:val="nil"/>
              <w:left w:val="nil"/>
              <w:bottom w:val="nil"/>
              <w:right w:val="nil"/>
            </w:tcBorders>
          </w:tcPr>
          <w:p w:rsidR="0069691F" w:rsidRPr="001C0908" w:rsidRDefault="0069691F" w:rsidP="0069691F">
            <w:pPr>
              <w:keepNext/>
              <w:keepLines/>
              <w:widowControl w:val="0"/>
              <w:spacing w:line="320" w:lineRule="exact"/>
              <w:ind w:right="26"/>
              <w:jc w:val="both"/>
              <w:rPr>
                <w:rFonts w:ascii="Georgia" w:eastAsiaTheme="majorEastAsia" w:hAnsi="Georgia" w:cstheme="majorBidi"/>
                <w:iCs/>
                <w:color w:val="000000" w:themeColor="text1"/>
                <w:szCs w:val="26"/>
                <w:lang w:val="ro-RO"/>
              </w:rPr>
            </w:pPr>
            <w:r w:rsidRPr="001C0908">
              <w:rPr>
                <w:rFonts w:ascii="Georgia" w:eastAsiaTheme="majorEastAsia" w:hAnsi="Georgia" w:cstheme="majorBidi"/>
                <w:iCs/>
                <w:color w:val="000000" w:themeColor="text1"/>
                <w:szCs w:val="26"/>
                <w:lang w:val="ro-RO"/>
              </w:rPr>
              <w:t>prezentam in continuare cateva informatii privind principalele consecinte ce decurg din incheierea acestor Contracte de Facilitate de Credit de tip Revolving.</w:t>
            </w:r>
          </w:p>
        </w:tc>
        <w:tc>
          <w:tcPr>
            <w:tcW w:w="4675" w:type="dxa"/>
            <w:tcBorders>
              <w:top w:val="nil"/>
              <w:left w:val="nil"/>
              <w:bottom w:val="nil"/>
              <w:right w:val="nil"/>
            </w:tcBorders>
          </w:tcPr>
          <w:p w:rsidR="0069691F" w:rsidRDefault="0069691F" w:rsidP="00A2785E">
            <w:pPr>
              <w:pStyle w:val="Body1"/>
              <w:keepNext/>
              <w:keepLines/>
              <w:widowControl w:val="0"/>
              <w:ind w:left="0"/>
              <w:rPr>
                <w:szCs w:val="22"/>
              </w:rPr>
            </w:pPr>
            <w:proofErr w:type="gramStart"/>
            <w:r w:rsidRPr="001C0908">
              <w:rPr>
                <w:color w:val="000000"/>
                <w:szCs w:val="22"/>
              </w:rPr>
              <w:t>we</w:t>
            </w:r>
            <w:proofErr w:type="gramEnd"/>
            <w:r w:rsidRPr="001C0908">
              <w:rPr>
                <w:color w:val="000000"/>
                <w:szCs w:val="22"/>
              </w:rPr>
              <w:t xml:space="preserve"> present in what follows certain information regarding the main consequences arising from entering into these Revolving Credit Facility Agreements.</w:t>
            </w:r>
          </w:p>
        </w:tc>
      </w:tr>
      <w:tr w:rsidR="00A2785E" w:rsidRPr="001C0908" w:rsidTr="0069691F">
        <w:tc>
          <w:tcPr>
            <w:tcW w:w="4675" w:type="dxa"/>
            <w:tcBorders>
              <w:top w:val="nil"/>
              <w:left w:val="nil"/>
              <w:bottom w:val="nil"/>
              <w:right w:val="nil"/>
            </w:tcBorders>
          </w:tcPr>
          <w:p w:rsidR="00A2785E" w:rsidRPr="001C0908" w:rsidRDefault="00A2785E" w:rsidP="00A2785E">
            <w:pPr>
              <w:pStyle w:val="Heading1"/>
              <w:widowControl w:val="0"/>
              <w:spacing w:after="0"/>
              <w:ind w:left="342" w:hanging="342"/>
              <w:outlineLvl w:val="0"/>
              <w:rPr>
                <w:lang w:val="ro-RO"/>
              </w:rPr>
            </w:pPr>
            <w:r w:rsidRPr="001C0908">
              <w:rPr>
                <w:lang w:val="ro-RO"/>
              </w:rPr>
              <w:t xml:space="preserve">Sumarul Contractelor de Facilitate de </w:t>
            </w:r>
            <w:r w:rsidR="00BA71F7" w:rsidRPr="001C0908">
              <w:rPr>
                <w:lang w:val="ro-RO"/>
              </w:rPr>
              <w:t xml:space="preserve">Credit de </w:t>
            </w:r>
            <w:r w:rsidRPr="001C0908">
              <w:rPr>
                <w:lang w:val="ro-RO"/>
              </w:rPr>
              <w:t xml:space="preserve">tip Revolving </w:t>
            </w:r>
          </w:p>
          <w:p w:rsidR="00A2785E" w:rsidRPr="001C0908" w:rsidRDefault="00A2785E" w:rsidP="00A2785E">
            <w:pPr>
              <w:rPr>
                <w:lang w:val="ro-RO"/>
              </w:rPr>
            </w:pPr>
          </w:p>
        </w:tc>
        <w:tc>
          <w:tcPr>
            <w:tcW w:w="4675" w:type="dxa"/>
            <w:tcBorders>
              <w:top w:val="nil"/>
              <w:left w:val="nil"/>
              <w:bottom w:val="nil"/>
              <w:right w:val="nil"/>
            </w:tcBorders>
          </w:tcPr>
          <w:p w:rsidR="00A2785E" w:rsidRPr="001C0908" w:rsidRDefault="00A2785E" w:rsidP="007369E4">
            <w:pPr>
              <w:pStyle w:val="Heading1"/>
              <w:widowControl w:val="0"/>
              <w:numPr>
                <w:ilvl w:val="0"/>
                <w:numId w:val="6"/>
              </w:numPr>
              <w:spacing w:after="0"/>
              <w:outlineLvl w:val="0"/>
            </w:pPr>
            <w:r w:rsidRPr="001C0908">
              <w:t>Summary of the Revolving Credit Facility Agreements</w:t>
            </w:r>
          </w:p>
          <w:p w:rsidR="00A2785E" w:rsidRPr="001C0908" w:rsidRDefault="00A2785E" w:rsidP="00A2785E">
            <w:pPr>
              <w:rPr>
                <w:lang w:val="en-GB"/>
              </w:rPr>
            </w:pPr>
          </w:p>
        </w:tc>
      </w:tr>
      <w:tr w:rsidR="00A2785E" w:rsidRPr="001C0908" w:rsidTr="00D30714">
        <w:tc>
          <w:tcPr>
            <w:tcW w:w="4675" w:type="dxa"/>
            <w:tcBorders>
              <w:top w:val="nil"/>
              <w:left w:val="nil"/>
              <w:bottom w:val="nil"/>
              <w:right w:val="nil"/>
            </w:tcBorders>
          </w:tcPr>
          <w:p w:rsidR="00A2785E" w:rsidRPr="001C0908" w:rsidRDefault="00DB2C81" w:rsidP="00252C86">
            <w:pPr>
              <w:pStyle w:val="Body1"/>
              <w:keepNext/>
              <w:keepLines/>
              <w:widowControl w:val="0"/>
              <w:ind w:left="0"/>
              <w:rPr>
                <w:lang w:val="ro-RO"/>
              </w:rPr>
            </w:pPr>
            <w:r w:rsidRPr="001C0908">
              <w:rPr>
                <w:lang w:val="ro-RO"/>
              </w:rPr>
              <w:t>Contractele</w:t>
            </w:r>
            <w:r w:rsidR="00A2785E" w:rsidRPr="001C0908">
              <w:rPr>
                <w:lang w:val="ro-RO"/>
              </w:rPr>
              <w:t xml:space="preserve"> </w:t>
            </w:r>
            <w:r w:rsidR="00252C86">
              <w:rPr>
                <w:lang w:val="ro-RO"/>
              </w:rPr>
              <w:t>au ca parti</w:t>
            </w:r>
            <w:r w:rsidR="00A2785E" w:rsidRPr="001C0908">
              <w:rPr>
                <w:lang w:val="ro-RO"/>
              </w:rPr>
              <w:t xml:space="preserve"> </w:t>
            </w:r>
            <w:r w:rsidRPr="001C0908">
              <w:rPr>
                <w:lang w:val="ro-RO"/>
              </w:rPr>
              <w:t xml:space="preserve">Ciech SA si Garanti pe de o parte si: (i) Bank Polska Kasa Opieki S.A. (pentru un imprumut in valoare de pana la </w:t>
            </w:r>
            <w:r w:rsidRPr="001C0908">
              <w:rPr>
                <w:lang w:val="ro-RO"/>
              </w:rPr>
              <w:lastRenderedPageBreak/>
              <w:t>300.000.000 PLN), (ii) BNP Paribas Bank Polska S.A. (pentru un imprumut in valoare de pana la 92.787.500 PLN) si (iii) Banco de Sabadell S.A., London Branch ( pentru un imprumut in valoare de pana la 25.000.000 EUR), pe de alta parte.</w:t>
            </w:r>
          </w:p>
        </w:tc>
        <w:tc>
          <w:tcPr>
            <w:tcW w:w="4675" w:type="dxa"/>
            <w:tcBorders>
              <w:top w:val="nil"/>
              <w:left w:val="nil"/>
              <w:bottom w:val="nil"/>
              <w:right w:val="nil"/>
            </w:tcBorders>
          </w:tcPr>
          <w:p w:rsidR="00A2785E" w:rsidRPr="001C0908" w:rsidRDefault="00A2785E" w:rsidP="00252C86">
            <w:pPr>
              <w:pStyle w:val="Heading1"/>
              <w:widowControl w:val="0"/>
              <w:numPr>
                <w:ilvl w:val="0"/>
                <w:numId w:val="0"/>
              </w:numPr>
              <w:spacing w:after="0"/>
              <w:outlineLvl w:val="0"/>
              <w:rPr>
                <w:rFonts w:cs="Arial"/>
                <w:b w:val="0"/>
                <w:color w:val="1B1B1B"/>
                <w:shd w:val="clear" w:color="auto" w:fill="FFFFFF"/>
              </w:rPr>
            </w:pPr>
            <w:r w:rsidRPr="001C0908">
              <w:rPr>
                <w:rFonts w:cs="Arial"/>
                <w:b w:val="0"/>
                <w:color w:val="1B1B1B"/>
                <w:shd w:val="clear" w:color="auto" w:fill="FFFFFF"/>
              </w:rPr>
              <w:lastRenderedPageBreak/>
              <w:t xml:space="preserve">The </w:t>
            </w:r>
            <w:r w:rsidR="00252C86">
              <w:rPr>
                <w:rFonts w:cs="Arial"/>
                <w:b w:val="0"/>
                <w:color w:val="1B1B1B"/>
                <w:shd w:val="clear" w:color="auto" w:fill="FFFFFF"/>
              </w:rPr>
              <w:t xml:space="preserve">parties of the </w:t>
            </w:r>
            <w:r w:rsidRPr="001C0908">
              <w:rPr>
                <w:rFonts w:cs="Arial"/>
                <w:b w:val="0"/>
                <w:color w:val="1B1B1B"/>
                <w:shd w:val="clear" w:color="auto" w:fill="FFFFFF"/>
              </w:rPr>
              <w:t>Revolving Credit Facility Agreements</w:t>
            </w:r>
            <w:r w:rsidR="00252C86">
              <w:rPr>
                <w:rFonts w:cs="Arial"/>
                <w:b w:val="0"/>
                <w:color w:val="1B1B1B"/>
                <w:shd w:val="clear" w:color="auto" w:fill="FFFFFF"/>
              </w:rPr>
              <w:t xml:space="preserve"> are</w:t>
            </w:r>
            <w:r w:rsidRPr="001C0908">
              <w:rPr>
                <w:rFonts w:cs="Arial"/>
                <w:b w:val="0"/>
                <w:color w:val="1B1B1B"/>
                <w:shd w:val="clear" w:color="auto" w:fill="FFFFFF"/>
              </w:rPr>
              <w:t xml:space="preserve"> </w:t>
            </w:r>
            <w:proofErr w:type="spellStart"/>
            <w:r w:rsidR="00DB2C81" w:rsidRPr="001C0908">
              <w:rPr>
                <w:rFonts w:cs="Arial"/>
                <w:b w:val="0"/>
                <w:color w:val="1B1B1B"/>
                <w:shd w:val="clear" w:color="auto" w:fill="FFFFFF"/>
              </w:rPr>
              <w:t>Ciech</w:t>
            </w:r>
            <w:proofErr w:type="spellEnd"/>
            <w:r w:rsidR="00DB2C81" w:rsidRPr="001C0908">
              <w:rPr>
                <w:rFonts w:cs="Arial"/>
                <w:b w:val="0"/>
                <w:color w:val="1B1B1B"/>
                <w:shd w:val="clear" w:color="auto" w:fill="FFFFFF"/>
              </w:rPr>
              <w:t xml:space="preserve"> SA</w:t>
            </w:r>
            <w:r w:rsidRPr="001C0908">
              <w:rPr>
                <w:rFonts w:cs="Arial"/>
                <w:b w:val="0"/>
                <w:color w:val="1B1B1B"/>
                <w:shd w:val="clear" w:color="auto" w:fill="FFFFFF"/>
              </w:rPr>
              <w:t xml:space="preserve"> and the Guarantors on one side and: (</w:t>
            </w:r>
            <w:proofErr w:type="spellStart"/>
            <w:r w:rsidRPr="001C0908">
              <w:rPr>
                <w:rFonts w:cs="Arial"/>
                <w:b w:val="0"/>
                <w:color w:val="1B1B1B"/>
                <w:shd w:val="clear" w:color="auto" w:fill="FFFFFF"/>
              </w:rPr>
              <w:t>i</w:t>
            </w:r>
            <w:proofErr w:type="spellEnd"/>
            <w:r w:rsidRPr="001C0908">
              <w:rPr>
                <w:rFonts w:cs="Arial"/>
                <w:b w:val="0"/>
                <w:color w:val="1B1B1B"/>
                <w:shd w:val="clear" w:color="auto" w:fill="FFFFFF"/>
              </w:rPr>
              <w:t xml:space="preserve">) Bank </w:t>
            </w:r>
            <w:proofErr w:type="spellStart"/>
            <w:r w:rsidRPr="001C0908">
              <w:rPr>
                <w:rFonts w:cs="Arial"/>
                <w:b w:val="0"/>
                <w:color w:val="1B1B1B"/>
                <w:shd w:val="clear" w:color="auto" w:fill="FFFFFF"/>
              </w:rPr>
              <w:t>Polska</w:t>
            </w:r>
            <w:proofErr w:type="spellEnd"/>
            <w:r w:rsidRPr="001C0908">
              <w:rPr>
                <w:rFonts w:cs="Arial"/>
                <w:b w:val="0"/>
                <w:color w:val="1B1B1B"/>
                <w:shd w:val="clear" w:color="auto" w:fill="FFFFFF"/>
              </w:rPr>
              <w:t xml:space="preserve"> </w:t>
            </w:r>
            <w:proofErr w:type="spellStart"/>
            <w:r w:rsidRPr="001C0908">
              <w:rPr>
                <w:rFonts w:cs="Arial"/>
                <w:b w:val="0"/>
                <w:color w:val="1B1B1B"/>
                <w:shd w:val="clear" w:color="auto" w:fill="FFFFFF"/>
              </w:rPr>
              <w:t>Kasa</w:t>
            </w:r>
            <w:proofErr w:type="spellEnd"/>
            <w:r w:rsidRPr="001C0908">
              <w:rPr>
                <w:rFonts w:cs="Arial"/>
                <w:b w:val="0"/>
                <w:color w:val="1B1B1B"/>
                <w:shd w:val="clear" w:color="auto" w:fill="FFFFFF"/>
              </w:rPr>
              <w:t xml:space="preserve"> </w:t>
            </w:r>
            <w:proofErr w:type="spellStart"/>
            <w:r w:rsidRPr="001C0908">
              <w:rPr>
                <w:rFonts w:cs="Arial"/>
                <w:b w:val="0"/>
                <w:color w:val="1B1B1B"/>
                <w:shd w:val="clear" w:color="auto" w:fill="FFFFFF"/>
              </w:rPr>
              <w:t>Opieki</w:t>
            </w:r>
            <w:proofErr w:type="spellEnd"/>
            <w:r w:rsidRPr="001C0908">
              <w:rPr>
                <w:rFonts w:cs="Arial"/>
                <w:b w:val="0"/>
                <w:color w:val="1B1B1B"/>
                <w:shd w:val="clear" w:color="auto" w:fill="FFFFFF"/>
              </w:rPr>
              <w:t xml:space="preserve"> </w:t>
            </w:r>
            <w:r w:rsidRPr="001C0908">
              <w:rPr>
                <w:rFonts w:cs="Arial"/>
                <w:b w:val="0"/>
                <w:color w:val="1B1B1B"/>
                <w:shd w:val="clear" w:color="auto" w:fill="FFFFFF"/>
              </w:rPr>
              <w:lastRenderedPageBreak/>
              <w:t xml:space="preserve">S.A. (for a credit amount of up to PLN 300,000,000), (ii) BNP Paribas Bank </w:t>
            </w:r>
            <w:proofErr w:type="spellStart"/>
            <w:r w:rsidRPr="001C0908">
              <w:rPr>
                <w:rFonts w:cs="Arial"/>
                <w:b w:val="0"/>
                <w:color w:val="1B1B1B"/>
                <w:shd w:val="clear" w:color="auto" w:fill="FFFFFF"/>
              </w:rPr>
              <w:t>Polska</w:t>
            </w:r>
            <w:proofErr w:type="spellEnd"/>
            <w:r w:rsidRPr="001C0908">
              <w:rPr>
                <w:rFonts w:cs="Arial"/>
                <w:b w:val="0"/>
                <w:color w:val="1B1B1B"/>
                <w:shd w:val="clear" w:color="auto" w:fill="FFFFFF"/>
              </w:rPr>
              <w:t xml:space="preserve"> S.A. (for a credit amount of up to PLN 92,787,500), and (iii) Banco de Sabadell S.A., London Branch (for a credit amount of up to EUR 25,000,000)</w:t>
            </w:r>
            <w:r w:rsidR="0069691F">
              <w:rPr>
                <w:rFonts w:cs="Arial"/>
                <w:b w:val="0"/>
                <w:color w:val="1B1B1B"/>
                <w:shd w:val="clear" w:color="auto" w:fill="FFFFFF"/>
              </w:rPr>
              <w:t>,</w:t>
            </w:r>
            <w:r w:rsidRPr="001C0908">
              <w:rPr>
                <w:rFonts w:cs="Arial"/>
                <w:b w:val="0"/>
                <w:color w:val="1B1B1B"/>
                <w:shd w:val="clear" w:color="auto" w:fill="FFFFFF"/>
              </w:rPr>
              <w:t xml:space="preserve"> on the other side.</w:t>
            </w:r>
          </w:p>
        </w:tc>
      </w:tr>
      <w:tr w:rsidR="00A2785E" w:rsidRPr="001C0908" w:rsidTr="00D30714">
        <w:tc>
          <w:tcPr>
            <w:tcW w:w="4675" w:type="dxa"/>
            <w:tcBorders>
              <w:top w:val="nil"/>
              <w:left w:val="nil"/>
              <w:bottom w:val="nil"/>
              <w:right w:val="nil"/>
            </w:tcBorders>
          </w:tcPr>
          <w:p w:rsidR="006E456B" w:rsidRPr="001C0908" w:rsidRDefault="00FB5801" w:rsidP="006E456B">
            <w:pPr>
              <w:pStyle w:val="Heading1"/>
              <w:widowControl w:val="0"/>
              <w:numPr>
                <w:ilvl w:val="0"/>
                <w:numId w:val="0"/>
              </w:numPr>
              <w:spacing w:after="0"/>
              <w:outlineLvl w:val="0"/>
              <w:rPr>
                <w:rFonts w:cs="Arial"/>
                <w:b w:val="0"/>
                <w:color w:val="1B1B1B"/>
                <w:shd w:val="clear" w:color="auto" w:fill="FFFFFF"/>
                <w:lang w:val="ro-RO"/>
              </w:rPr>
            </w:pPr>
            <w:r>
              <w:rPr>
                <w:rFonts w:cs="Arial"/>
                <w:b w:val="0"/>
                <w:color w:val="1B1B1B"/>
                <w:shd w:val="clear" w:color="auto" w:fill="FFFFFF"/>
                <w:lang w:val="ro-RO"/>
              </w:rPr>
              <w:lastRenderedPageBreak/>
              <w:t>Conform Contractelor</w:t>
            </w:r>
            <w:r w:rsidR="006E456B" w:rsidRPr="001C0908">
              <w:rPr>
                <w:rFonts w:cs="Arial"/>
                <w:b w:val="0"/>
                <w:color w:val="1B1B1B"/>
                <w:shd w:val="clear" w:color="auto" w:fill="FFFFFF"/>
                <w:lang w:val="ro-RO"/>
              </w:rPr>
              <w:t xml:space="preserve"> de Facilitate de </w:t>
            </w:r>
            <w:r w:rsidR="001D7A44" w:rsidRPr="001C0908">
              <w:rPr>
                <w:rFonts w:cs="Arial"/>
                <w:b w:val="0"/>
                <w:color w:val="1B1B1B"/>
                <w:shd w:val="clear" w:color="auto" w:fill="FFFFFF"/>
                <w:lang w:val="ro-RO"/>
              </w:rPr>
              <w:t xml:space="preserve">Credit de </w:t>
            </w:r>
            <w:r w:rsidR="006E456B" w:rsidRPr="001C0908">
              <w:rPr>
                <w:rFonts w:cs="Arial"/>
                <w:b w:val="0"/>
                <w:color w:val="1B1B1B"/>
                <w:shd w:val="clear" w:color="auto" w:fill="FFFFFF"/>
                <w:lang w:val="ro-RO"/>
              </w:rPr>
              <w:t>tip Revolving, fiecare dintre Creditori va acorda Ciech SA (</w:t>
            </w:r>
            <w:r w:rsidR="005E0B0E" w:rsidRPr="001C0908">
              <w:rPr>
                <w:rFonts w:cs="Arial"/>
                <w:b w:val="0"/>
                <w:color w:val="1B1B1B"/>
                <w:shd w:val="clear" w:color="auto" w:fill="FFFFFF"/>
                <w:lang w:val="ro-RO"/>
              </w:rPr>
              <w:t>sub rezerva</w:t>
            </w:r>
            <w:r w:rsidR="006E456B" w:rsidRPr="001C0908">
              <w:rPr>
                <w:rFonts w:cs="Arial"/>
                <w:b w:val="0"/>
                <w:color w:val="1B1B1B"/>
                <w:shd w:val="clear" w:color="auto" w:fill="FFFFFF"/>
                <w:lang w:val="ro-RO"/>
              </w:rPr>
              <w:t xml:space="preserve"> indeplinirii </w:t>
            </w:r>
            <w:r w:rsidR="001D7A44" w:rsidRPr="001C0908">
              <w:rPr>
                <w:rFonts w:cs="Arial"/>
                <w:b w:val="0"/>
                <w:color w:val="1B1B1B"/>
                <w:shd w:val="clear" w:color="auto" w:fill="FFFFFF"/>
                <w:lang w:val="ro-RO"/>
              </w:rPr>
              <w:t xml:space="preserve">de catre Ciech SA a </w:t>
            </w:r>
            <w:r w:rsidR="006E456B" w:rsidRPr="001C0908">
              <w:rPr>
                <w:rFonts w:cs="Arial"/>
                <w:b w:val="0"/>
                <w:color w:val="1B1B1B"/>
                <w:shd w:val="clear" w:color="auto" w:fill="FFFFFF"/>
                <w:lang w:val="ro-RO"/>
              </w:rPr>
              <w:t xml:space="preserve">conditiilor </w:t>
            </w:r>
            <w:r w:rsidR="001D37EC" w:rsidRPr="001C0908">
              <w:rPr>
                <w:rFonts w:cs="Arial"/>
                <w:b w:val="0"/>
                <w:color w:val="1B1B1B"/>
                <w:shd w:val="clear" w:color="auto" w:fill="FFFFFF"/>
                <w:lang w:val="ro-RO"/>
              </w:rPr>
              <w:t xml:space="preserve">standard </w:t>
            </w:r>
            <w:r w:rsidR="006E456B" w:rsidRPr="001C0908">
              <w:rPr>
                <w:rFonts w:cs="Arial"/>
                <w:b w:val="0"/>
                <w:color w:val="1B1B1B"/>
                <w:shd w:val="clear" w:color="auto" w:fill="FFFFFF"/>
                <w:lang w:val="ro-RO"/>
              </w:rPr>
              <w:t>preliminare</w:t>
            </w:r>
            <w:r w:rsidR="001D37EC" w:rsidRPr="001C0908">
              <w:rPr>
                <w:rFonts w:cs="Arial"/>
                <w:b w:val="0"/>
                <w:color w:val="1B1B1B"/>
                <w:shd w:val="clear" w:color="auto" w:fill="FFFFFF"/>
                <w:lang w:val="ro-RO"/>
              </w:rPr>
              <w:t xml:space="preserve">  tragerii, inclusiv depunerea documentelor</w:t>
            </w:r>
            <w:r w:rsidR="005E0B0E" w:rsidRPr="001C0908">
              <w:rPr>
                <w:rFonts w:cs="Arial"/>
                <w:b w:val="0"/>
                <w:color w:val="1B1B1B"/>
                <w:shd w:val="clear" w:color="auto" w:fill="FFFFFF"/>
                <w:lang w:val="ro-RO"/>
              </w:rPr>
              <w:t xml:space="preserve">  si certificatelor relevante)</w:t>
            </w:r>
            <w:r w:rsidR="001D37EC" w:rsidRPr="001C0908">
              <w:rPr>
                <w:rFonts w:cs="Arial"/>
                <w:b w:val="0"/>
                <w:color w:val="1B1B1B"/>
                <w:shd w:val="clear" w:color="auto" w:fill="FFFFFF"/>
                <w:lang w:val="ro-RO"/>
              </w:rPr>
              <w:t xml:space="preserve"> facilitati </w:t>
            </w:r>
            <w:r w:rsidR="005E0B0E" w:rsidRPr="001C0908">
              <w:rPr>
                <w:rFonts w:cs="Arial"/>
                <w:b w:val="0"/>
                <w:color w:val="1B1B1B"/>
                <w:shd w:val="clear" w:color="auto" w:fill="FFFFFF"/>
                <w:lang w:val="ro-RO"/>
              </w:rPr>
              <w:t>de credit de tip revolving</w:t>
            </w:r>
            <w:r>
              <w:rPr>
                <w:rFonts w:cs="Arial"/>
                <w:b w:val="0"/>
                <w:color w:val="1B1B1B"/>
                <w:shd w:val="clear" w:color="auto" w:fill="FFFFFF"/>
                <w:lang w:val="ro-RO"/>
              </w:rPr>
              <w:t xml:space="preserve"> pe o perioada de 3 ani</w:t>
            </w:r>
            <w:r w:rsidR="005E0B0E" w:rsidRPr="001C0908">
              <w:rPr>
                <w:rFonts w:cs="Arial"/>
                <w:b w:val="0"/>
                <w:color w:val="1B1B1B"/>
                <w:shd w:val="clear" w:color="auto" w:fill="FFFFFF"/>
                <w:lang w:val="ro-RO"/>
              </w:rPr>
              <w:t xml:space="preserve"> in valorile maxime prevazute mai sus.</w:t>
            </w:r>
          </w:p>
          <w:p w:rsidR="00A2785E" w:rsidRPr="001C0908" w:rsidRDefault="005E0B0E" w:rsidP="00DF35B1">
            <w:pPr>
              <w:pStyle w:val="Heading1"/>
              <w:widowControl w:val="0"/>
              <w:numPr>
                <w:ilvl w:val="0"/>
                <w:numId w:val="0"/>
              </w:numPr>
              <w:spacing w:after="0"/>
              <w:outlineLvl w:val="0"/>
              <w:rPr>
                <w:lang w:val="ro-RO"/>
              </w:rPr>
            </w:pPr>
            <w:r w:rsidRPr="001C0908">
              <w:rPr>
                <w:rFonts w:cs="Arial"/>
                <w:b w:val="0"/>
                <w:color w:val="1B1B1B"/>
                <w:shd w:val="clear" w:color="auto" w:fill="FFFFFF"/>
                <w:lang w:val="ro-RO"/>
              </w:rPr>
              <w:t>Fiecare dintre facilitat</w:t>
            </w:r>
            <w:r w:rsidR="006E456B" w:rsidRPr="001C0908">
              <w:rPr>
                <w:rFonts w:cs="Arial"/>
                <w:b w:val="0"/>
                <w:color w:val="1B1B1B"/>
                <w:shd w:val="clear" w:color="auto" w:fill="FFFFFF"/>
                <w:lang w:val="ro-RO"/>
              </w:rPr>
              <w:t>ile de credit</w:t>
            </w:r>
            <w:r w:rsidRPr="001C0908">
              <w:rPr>
                <w:rFonts w:cs="Arial"/>
                <w:b w:val="0"/>
                <w:color w:val="1B1B1B"/>
                <w:shd w:val="clear" w:color="auto" w:fill="FFFFFF"/>
                <w:lang w:val="ro-RO"/>
              </w:rPr>
              <w:t xml:space="preserve"> de tip revolving</w:t>
            </w:r>
            <w:r w:rsidR="006E456B" w:rsidRPr="001C0908">
              <w:rPr>
                <w:rFonts w:cs="Arial"/>
                <w:b w:val="0"/>
                <w:color w:val="1B1B1B"/>
                <w:shd w:val="clear" w:color="auto" w:fill="FFFFFF"/>
                <w:lang w:val="ro-RO"/>
              </w:rPr>
              <w:t xml:space="preserve"> va </w:t>
            </w:r>
            <w:r w:rsidRPr="001C0908">
              <w:rPr>
                <w:rFonts w:cs="Arial"/>
                <w:b w:val="0"/>
                <w:color w:val="1B1B1B"/>
                <w:shd w:val="clear" w:color="auto" w:fill="FFFFFF"/>
                <w:lang w:val="ro-RO"/>
              </w:rPr>
              <w:t>avea o rata a doba</w:t>
            </w:r>
            <w:r w:rsidR="006E456B" w:rsidRPr="001C0908">
              <w:rPr>
                <w:rFonts w:cs="Arial"/>
                <w:b w:val="0"/>
                <w:color w:val="1B1B1B"/>
                <w:shd w:val="clear" w:color="auto" w:fill="FFFFFF"/>
                <w:lang w:val="ro-RO"/>
              </w:rPr>
              <w:t xml:space="preserve">nzii </w:t>
            </w:r>
            <w:r w:rsidRPr="001C0908">
              <w:rPr>
                <w:rFonts w:cs="Arial"/>
                <w:b w:val="0"/>
                <w:color w:val="1B1B1B"/>
                <w:shd w:val="clear" w:color="auto" w:fill="FFFFFF"/>
                <w:lang w:val="ro-RO"/>
              </w:rPr>
              <w:t>variabila care va fi determinata pe baza ratei de baza</w:t>
            </w:r>
            <w:r w:rsidR="006E456B" w:rsidRPr="001C0908">
              <w:rPr>
                <w:rFonts w:cs="Arial"/>
                <w:b w:val="0"/>
                <w:color w:val="1B1B1B"/>
                <w:shd w:val="clear" w:color="auto" w:fill="FFFFFF"/>
                <w:lang w:val="ro-RO"/>
              </w:rPr>
              <w:t xml:space="preserve"> WIB</w:t>
            </w:r>
            <w:r w:rsidRPr="001C0908">
              <w:rPr>
                <w:rFonts w:cs="Arial"/>
                <w:b w:val="0"/>
                <w:color w:val="1B1B1B"/>
                <w:shd w:val="clear" w:color="auto" w:fill="FFFFFF"/>
                <w:lang w:val="ro-RO"/>
              </w:rPr>
              <w:t>OR / EURIBOR plus marja definita i</w:t>
            </w:r>
            <w:r w:rsidR="006E456B" w:rsidRPr="001C0908">
              <w:rPr>
                <w:rFonts w:cs="Arial"/>
                <w:b w:val="0"/>
                <w:color w:val="1B1B1B"/>
                <w:shd w:val="clear" w:color="auto" w:fill="FFFFFF"/>
                <w:lang w:val="ro-RO"/>
              </w:rPr>
              <w:t xml:space="preserve">n </w:t>
            </w:r>
            <w:r w:rsidRPr="001C0908">
              <w:rPr>
                <w:rFonts w:cs="Arial"/>
                <w:b w:val="0"/>
                <w:color w:val="1B1B1B"/>
                <w:shd w:val="clear" w:color="auto" w:fill="FFFFFF"/>
                <w:lang w:val="ro-RO"/>
              </w:rPr>
              <w:t xml:space="preserve">Contractele de Facilitate de </w:t>
            </w:r>
            <w:r w:rsidR="00337D95" w:rsidRPr="001C0908">
              <w:rPr>
                <w:rFonts w:cs="Arial"/>
                <w:b w:val="0"/>
                <w:color w:val="1B1B1B"/>
                <w:shd w:val="clear" w:color="auto" w:fill="FFFFFF"/>
                <w:lang w:val="ro-RO"/>
              </w:rPr>
              <w:t xml:space="preserve">Credit de </w:t>
            </w:r>
            <w:r w:rsidRPr="001C0908">
              <w:rPr>
                <w:rFonts w:cs="Arial"/>
                <w:b w:val="0"/>
                <w:color w:val="1B1B1B"/>
                <w:shd w:val="clear" w:color="auto" w:fill="FFFFFF"/>
                <w:lang w:val="ro-RO"/>
              </w:rPr>
              <w:t>tip revolving</w:t>
            </w:r>
            <w:r w:rsidR="006E456B" w:rsidRPr="001C0908">
              <w:rPr>
                <w:rFonts w:cs="Arial"/>
                <w:b w:val="0"/>
                <w:color w:val="1B1B1B"/>
                <w:shd w:val="clear" w:color="auto" w:fill="FFFFFF"/>
                <w:lang w:val="ro-RO"/>
              </w:rPr>
              <w:t xml:space="preserve"> relevante, care depinde</w:t>
            </w:r>
            <w:r w:rsidR="00DF35B1" w:rsidRPr="001C0908">
              <w:rPr>
                <w:rFonts w:cs="Arial"/>
                <w:b w:val="0"/>
                <w:color w:val="1B1B1B"/>
                <w:shd w:val="clear" w:color="auto" w:fill="FFFFFF"/>
                <w:lang w:val="ro-RO"/>
              </w:rPr>
              <w:t xml:space="preserve"> de raportul dintre datoria neta</w:t>
            </w:r>
            <w:r w:rsidR="006E456B" w:rsidRPr="001C0908">
              <w:rPr>
                <w:rFonts w:cs="Arial"/>
                <w:b w:val="0"/>
                <w:color w:val="1B1B1B"/>
                <w:shd w:val="clear" w:color="auto" w:fill="FFFFFF"/>
                <w:lang w:val="ro-RO"/>
              </w:rPr>
              <w:t xml:space="preserve"> și EBIT</w:t>
            </w:r>
            <w:r w:rsidR="00DF35B1" w:rsidRPr="001C0908">
              <w:rPr>
                <w:rFonts w:cs="Arial"/>
                <w:b w:val="0"/>
                <w:color w:val="1B1B1B"/>
                <w:shd w:val="clear" w:color="auto" w:fill="FFFFFF"/>
                <w:lang w:val="ro-RO"/>
              </w:rPr>
              <w:t>DA. Valoarea medie a marjei init</w:t>
            </w:r>
            <w:r w:rsidR="006E456B" w:rsidRPr="001C0908">
              <w:rPr>
                <w:rFonts w:cs="Arial"/>
                <w:b w:val="0"/>
                <w:color w:val="1B1B1B"/>
                <w:shd w:val="clear" w:color="auto" w:fill="FFFFFF"/>
                <w:lang w:val="ro-RO"/>
              </w:rPr>
              <w:t xml:space="preserve">iale a </w:t>
            </w:r>
            <w:r w:rsidR="00DF35B1" w:rsidRPr="001C0908">
              <w:rPr>
                <w:rFonts w:cs="Arial"/>
                <w:b w:val="0"/>
                <w:color w:val="1B1B1B"/>
                <w:shd w:val="clear" w:color="auto" w:fill="FFFFFF"/>
                <w:lang w:val="ro-RO"/>
              </w:rPr>
              <w:t xml:space="preserve">Contractelor de </w:t>
            </w:r>
            <w:r w:rsidR="006E456B" w:rsidRPr="001C0908">
              <w:rPr>
                <w:rFonts w:cs="Arial"/>
                <w:b w:val="0"/>
                <w:color w:val="1B1B1B"/>
                <w:shd w:val="clear" w:color="auto" w:fill="FFFFFF"/>
                <w:lang w:val="ro-RO"/>
              </w:rPr>
              <w:t>Facilit</w:t>
            </w:r>
            <w:r w:rsidR="00DF35B1" w:rsidRPr="001C0908">
              <w:rPr>
                <w:rFonts w:cs="Arial"/>
                <w:b w:val="0"/>
                <w:color w:val="1B1B1B"/>
                <w:shd w:val="clear" w:color="auto" w:fill="FFFFFF"/>
                <w:lang w:val="ro-RO"/>
              </w:rPr>
              <w:t>ate</w:t>
            </w:r>
            <w:r w:rsidR="006E456B" w:rsidRPr="001C0908">
              <w:rPr>
                <w:rFonts w:cs="Arial"/>
                <w:b w:val="0"/>
                <w:color w:val="1B1B1B"/>
                <w:shd w:val="clear" w:color="auto" w:fill="FFFFFF"/>
                <w:lang w:val="ro-RO"/>
              </w:rPr>
              <w:t xml:space="preserve"> de Credit </w:t>
            </w:r>
            <w:r w:rsidR="00B83C7E" w:rsidRPr="001C0908">
              <w:rPr>
                <w:rFonts w:cs="Arial"/>
                <w:b w:val="0"/>
                <w:color w:val="1B1B1B"/>
                <w:shd w:val="clear" w:color="auto" w:fill="FFFFFF"/>
                <w:lang w:val="ro-RO"/>
              </w:rPr>
              <w:t>de tip R</w:t>
            </w:r>
            <w:r w:rsidR="00DF35B1" w:rsidRPr="001C0908">
              <w:rPr>
                <w:rFonts w:cs="Arial"/>
                <w:b w:val="0"/>
                <w:color w:val="1B1B1B"/>
                <w:shd w:val="clear" w:color="auto" w:fill="FFFFFF"/>
                <w:lang w:val="ro-RO"/>
              </w:rPr>
              <w:t>evolving se ridica</w:t>
            </w:r>
            <w:r w:rsidR="006E456B" w:rsidRPr="001C0908">
              <w:rPr>
                <w:rFonts w:cs="Arial"/>
                <w:b w:val="0"/>
                <w:color w:val="1B1B1B"/>
                <w:shd w:val="clear" w:color="auto" w:fill="FFFFFF"/>
                <w:lang w:val="ro-RO"/>
              </w:rPr>
              <w:t xml:space="preserve"> la </w:t>
            </w:r>
            <w:r w:rsidR="00DF35B1" w:rsidRPr="001C0908">
              <w:rPr>
                <w:rFonts w:cs="Arial"/>
                <w:b w:val="0"/>
                <w:color w:val="1B1B1B"/>
                <w:shd w:val="clear" w:color="auto" w:fill="FFFFFF"/>
                <w:lang w:val="ro-RO"/>
              </w:rPr>
              <w:t>aproximativ</w:t>
            </w:r>
            <w:r w:rsidR="006E456B" w:rsidRPr="001C0908">
              <w:rPr>
                <w:rFonts w:cs="Arial"/>
                <w:b w:val="0"/>
                <w:color w:val="1B1B1B"/>
                <w:shd w:val="clear" w:color="auto" w:fill="FFFFFF"/>
                <w:lang w:val="ro-RO"/>
              </w:rPr>
              <w:t xml:space="preserve"> 1,0%.</w:t>
            </w:r>
          </w:p>
        </w:tc>
        <w:tc>
          <w:tcPr>
            <w:tcW w:w="4675" w:type="dxa"/>
            <w:tcBorders>
              <w:top w:val="nil"/>
              <w:left w:val="nil"/>
              <w:bottom w:val="nil"/>
              <w:right w:val="nil"/>
            </w:tcBorders>
          </w:tcPr>
          <w:p w:rsidR="0069691F" w:rsidRDefault="00FB5801" w:rsidP="0069691F">
            <w:pPr>
              <w:pStyle w:val="Heading1"/>
              <w:widowControl w:val="0"/>
              <w:numPr>
                <w:ilvl w:val="0"/>
                <w:numId w:val="0"/>
              </w:numPr>
              <w:spacing w:after="0"/>
              <w:outlineLvl w:val="0"/>
              <w:rPr>
                <w:rFonts w:cs="Arial"/>
                <w:b w:val="0"/>
                <w:color w:val="1B1B1B"/>
                <w:shd w:val="clear" w:color="auto" w:fill="FFFFFF"/>
              </w:rPr>
            </w:pPr>
            <w:r>
              <w:rPr>
                <w:rFonts w:cs="Arial"/>
                <w:b w:val="0"/>
                <w:color w:val="1B1B1B"/>
                <w:shd w:val="clear" w:color="auto" w:fill="FFFFFF"/>
              </w:rPr>
              <w:t>Under</w:t>
            </w:r>
            <w:r w:rsidR="002250A1">
              <w:rPr>
                <w:rFonts w:cs="Arial"/>
                <w:b w:val="0"/>
                <w:color w:val="1B1B1B"/>
                <w:shd w:val="clear" w:color="auto" w:fill="FFFFFF"/>
              </w:rPr>
              <w:t xml:space="preserve"> the </w:t>
            </w:r>
            <w:r w:rsidR="006E456B" w:rsidRPr="001C0908">
              <w:rPr>
                <w:rFonts w:cs="Arial"/>
                <w:b w:val="0"/>
                <w:color w:val="1B1B1B"/>
                <w:shd w:val="clear" w:color="auto" w:fill="FFFFFF"/>
              </w:rPr>
              <w:t xml:space="preserve">Revolving Credit Facility Agreements, each of the Lenders will extend to </w:t>
            </w:r>
            <w:proofErr w:type="spellStart"/>
            <w:r w:rsidR="006E456B" w:rsidRPr="001C0908">
              <w:rPr>
                <w:rFonts w:cs="Arial"/>
                <w:b w:val="0"/>
                <w:color w:val="1B1B1B"/>
                <w:shd w:val="clear" w:color="auto" w:fill="FFFFFF"/>
              </w:rPr>
              <w:t>Ciech</w:t>
            </w:r>
            <w:proofErr w:type="spellEnd"/>
            <w:r w:rsidR="006E456B" w:rsidRPr="001C0908">
              <w:rPr>
                <w:rFonts w:cs="Arial"/>
                <w:b w:val="0"/>
                <w:color w:val="1B1B1B"/>
                <w:shd w:val="clear" w:color="auto" w:fill="FFFFFF"/>
              </w:rPr>
              <w:t xml:space="preserve"> SA (subject to the satisfaction by </w:t>
            </w:r>
            <w:proofErr w:type="spellStart"/>
            <w:r w:rsidR="006E456B" w:rsidRPr="001C0908">
              <w:rPr>
                <w:rFonts w:cs="Arial"/>
                <w:b w:val="0"/>
                <w:color w:val="1B1B1B"/>
                <w:shd w:val="clear" w:color="auto" w:fill="FFFFFF"/>
              </w:rPr>
              <w:t>Ciech</w:t>
            </w:r>
            <w:proofErr w:type="spellEnd"/>
            <w:r w:rsidR="006E456B" w:rsidRPr="001C0908">
              <w:rPr>
                <w:rFonts w:cs="Arial"/>
                <w:b w:val="0"/>
                <w:color w:val="1B1B1B"/>
                <w:shd w:val="clear" w:color="auto" w:fill="FFFFFF"/>
              </w:rPr>
              <w:t xml:space="preserve"> SA of standard conditions precedent of a drawdown, including the submission of relevant document</w:t>
            </w:r>
            <w:r w:rsidR="0069691F">
              <w:rPr>
                <w:rFonts w:cs="Arial"/>
                <w:b w:val="0"/>
                <w:color w:val="1B1B1B"/>
                <w:shd w:val="clear" w:color="auto" w:fill="FFFFFF"/>
              </w:rPr>
              <w:t xml:space="preserve">s and certificates) </w:t>
            </w:r>
            <w:r>
              <w:rPr>
                <w:rFonts w:cs="Arial"/>
                <w:b w:val="0"/>
                <w:color w:val="1B1B1B"/>
                <w:shd w:val="clear" w:color="auto" w:fill="FFFFFF"/>
              </w:rPr>
              <w:t xml:space="preserve">a </w:t>
            </w:r>
            <w:r w:rsidR="0069691F">
              <w:rPr>
                <w:rFonts w:cs="Arial"/>
                <w:b w:val="0"/>
                <w:color w:val="1B1B1B"/>
                <w:shd w:val="clear" w:color="auto" w:fill="FFFFFF"/>
              </w:rPr>
              <w:t>three</w:t>
            </w:r>
            <w:r>
              <w:rPr>
                <w:rFonts w:cs="Arial"/>
                <w:b w:val="0"/>
                <w:color w:val="1B1B1B"/>
                <w:shd w:val="clear" w:color="auto" w:fill="FFFFFF"/>
              </w:rPr>
              <w:t>-year</w:t>
            </w:r>
            <w:r w:rsidR="0069691F">
              <w:rPr>
                <w:rFonts w:cs="Arial"/>
                <w:b w:val="0"/>
                <w:color w:val="1B1B1B"/>
                <w:shd w:val="clear" w:color="auto" w:fill="FFFFFF"/>
              </w:rPr>
              <w:t xml:space="preserve"> revolving credit facilities</w:t>
            </w:r>
            <w:r w:rsidR="006E456B" w:rsidRPr="001C0908">
              <w:rPr>
                <w:rFonts w:cs="Arial"/>
                <w:b w:val="0"/>
                <w:color w:val="1B1B1B"/>
                <w:shd w:val="clear" w:color="auto" w:fill="FFFFFF"/>
              </w:rPr>
              <w:t xml:space="preserve"> up to the maximum </w:t>
            </w:r>
            <w:r>
              <w:rPr>
                <w:rFonts w:cs="Arial"/>
                <w:b w:val="0"/>
                <w:color w:val="1B1B1B"/>
                <w:shd w:val="clear" w:color="auto" w:fill="FFFFFF"/>
              </w:rPr>
              <w:t>amount</w:t>
            </w:r>
            <w:r w:rsidR="006E456B" w:rsidRPr="001C0908">
              <w:rPr>
                <w:rFonts w:cs="Arial"/>
                <w:b w:val="0"/>
                <w:color w:val="1B1B1B"/>
                <w:shd w:val="clear" w:color="auto" w:fill="FFFFFF"/>
              </w:rPr>
              <w:t xml:space="preserve"> provided above. </w:t>
            </w:r>
          </w:p>
          <w:p w:rsidR="00FB5801" w:rsidRPr="00FB5801" w:rsidRDefault="00FB5801" w:rsidP="00FB5801">
            <w:pPr>
              <w:rPr>
                <w:lang w:val="en-GB"/>
              </w:rPr>
            </w:pPr>
          </w:p>
          <w:p w:rsidR="00A2785E" w:rsidRPr="001C0908" w:rsidRDefault="005E0B0E" w:rsidP="006E456B">
            <w:pPr>
              <w:pStyle w:val="Heading1"/>
              <w:widowControl w:val="0"/>
              <w:numPr>
                <w:ilvl w:val="0"/>
                <w:numId w:val="0"/>
              </w:numPr>
              <w:spacing w:after="0"/>
              <w:outlineLvl w:val="0"/>
            </w:pPr>
            <w:r w:rsidRPr="001C0908">
              <w:rPr>
                <w:rFonts w:cs="Arial"/>
                <w:b w:val="0"/>
                <w:color w:val="1B1B1B"/>
                <w:shd w:val="clear" w:color="auto" w:fill="FFFFFF"/>
              </w:rPr>
              <w:t>Each of the revolving credit f</w:t>
            </w:r>
            <w:r w:rsidR="006E456B" w:rsidRPr="001C0908">
              <w:rPr>
                <w:rFonts w:cs="Arial"/>
                <w:b w:val="0"/>
                <w:color w:val="1B1B1B"/>
                <w:shd w:val="clear" w:color="auto" w:fill="FFFFFF"/>
              </w:rPr>
              <w:t>acilities will bear a floating interest rate to be determined on the basis of the WIBOR / EURIBOR base rate plus the margin defined in the relevant Revolving Credit Facility Agreements, which depends on the net debt-to-EBITDA ratio. The average value of the initial margin of</w:t>
            </w:r>
            <w:r w:rsidR="00DF35B1" w:rsidRPr="001C0908">
              <w:rPr>
                <w:rFonts w:cs="Arial"/>
                <w:b w:val="0"/>
                <w:color w:val="1B1B1B"/>
                <w:shd w:val="clear" w:color="auto" w:fill="FFFFFF"/>
              </w:rPr>
              <w:t xml:space="preserve"> the Revolving Credit Facility Agreements</w:t>
            </w:r>
            <w:r w:rsidR="006E456B" w:rsidRPr="001C0908">
              <w:rPr>
                <w:rFonts w:cs="Arial"/>
                <w:b w:val="0"/>
                <w:color w:val="1B1B1B"/>
                <w:shd w:val="clear" w:color="auto" w:fill="FFFFFF"/>
              </w:rPr>
              <w:t xml:space="preserve"> amounts to approx. 1.0 %.</w:t>
            </w:r>
          </w:p>
        </w:tc>
      </w:tr>
      <w:tr w:rsidR="009C0C54" w:rsidRPr="001C0908" w:rsidTr="00D30714">
        <w:tc>
          <w:tcPr>
            <w:tcW w:w="4675" w:type="dxa"/>
            <w:tcBorders>
              <w:top w:val="nil"/>
              <w:left w:val="nil"/>
              <w:bottom w:val="nil"/>
              <w:right w:val="nil"/>
            </w:tcBorders>
          </w:tcPr>
          <w:p w:rsidR="009C0C54" w:rsidRDefault="009C0C54" w:rsidP="009C0C54">
            <w:pPr>
              <w:pStyle w:val="Heading1"/>
              <w:widowControl w:val="0"/>
              <w:numPr>
                <w:ilvl w:val="0"/>
                <w:numId w:val="0"/>
              </w:numPr>
              <w:spacing w:after="0"/>
              <w:outlineLvl w:val="0"/>
              <w:rPr>
                <w:rFonts w:cs="Arial"/>
                <w:b w:val="0"/>
                <w:color w:val="1B1B1B"/>
                <w:shd w:val="clear" w:color="auto" w:fill="FFFFFF"/>
                <w:lang w:val="ro-RO"/>
              </w:rPr>
            </w:pPr>
            <w:r>
              <w:rPr>
                <w:rFonts w:cs="Arial"/>
                <w:b w:val="0"/>
                <w:color w:val="1B1B1B"/>
                <w:shd w:val="clear" w:color="auto" w:fill="FFFFFF"/>
                <w:lang w:val="ro-RO"/>
              </w:rPr>
              <w:t>Fiecare dintre Facilitatile de Credit de tip Revolving au fost garantate cu garantii oferite de catre fiecare dintre Garanti catre respectivul Creditor pentru o suma garantata egala cu 125% din suma de facilitate de credit acordata.</w:t>
            </w:r>
          </w:p>
        </w:tc>
        <w:tc>
          <w:tcPr>
            <w:tcW w:w="4675" w:type="dxa"/>
            <w:tcBorders>
              <w:top w:val="nil"/>
              <w:left w:val="nil"/>
              <w:bottom w:val="nil"/>
              <w:right w:val="nil"/>
            </w:tcBorders>
          </w:tcPr>
          <w:p w:rsidR="009C0C54" w:rsidRDefault="009C0C54" w:rsidP="0069691F">
            <w:pPr>
              <w:pStyle w:val="Heading1"/>
              <w:widowControl w:val="0"/>
              <w:numPr>
                <w:ilvl w:val="0"/>
                <w:numId w:val="0"/>
              </w:numPr>
              <w:spacing w:after="0"/>
              <w:outlineLvl w:val="0"/>
              <w:rPr>
                <w:rFonts w:cs="Arial"/>
                <w:b w:val="0"/>
                <w:color w:val="1B1B1B"/>
                <w:shd w:val="clear" w:color="auto" w:fill="FFFFFF"/>
              </w:rPr>
            </w:pPr>
            <w:r w:rsidRPr="009C0C54">
              <w:rPr>
                <w:rFonts w:cs="Arial"/>
                <w:b w:val="0"/>
                <w:color w:val="1B1B1B"/>
                <w:shd w:val="clear" w:color="auto" w:fill="FFFFFF"/>
              </w:rPr>
              <w:t>Each of the Revolving Credit Facilities has been secured with the guarantees granted by each of the Guarantors to the respective Lender for a guarantee amount equal to 125% of the amount of the credit facility amount extended</w:t>
            </w:r>
            <w:r>
              <w:rPr>
                <w:rFonts w:cs="Arial"/>
                <w:b w:val="0"/>
                <w:color w:val="1B1B1B"/>
                <w:shd w:val="clear" w:color="auto" w:fill="FFFFFF"/>
              </w:rPr>
              <w:t>.</w:t>
            </w:r>
          </w:p>
        </w:tc>
      </w:tr>
      <w:tr w:rsidR="00A2785E" w:rsidRPr="001C0908" w:rsidTr="00D30714">
        <w:tc>
          <w:tcPr>
            <w:tcW w:w="4675" w:type="dxa"/>
            <w:tcBorders>
              <w:top w:val="nil"/>
              <w:left w:val="nil"/>
              <w:bottom w:val="nil"/>
              <w:right w:val="nil"/>
            </w:tcBorders>
          </w:tcPr>
          <w:p w:rsidR="00A2785E" w:rsidRPr="001C0908" w:rsidRDefault="00286FBB" w:rsidP="00286FBB">
            <w:pPr>
              <w:pStyle w:val="Heading1"/>
              <w:widowControl w:val="0"/>
              <w:numPr>
                <w:ilvl w:val="0"/>
                <w:numId w:val="0"/>
              </w:numPr>
              <w:spacing w:after="0"/>
              <w:outlineLvl w:val="0"/>
              <w:rPr>
                <w:rFonts w:cs="Arial"/>
                <w:b w:val="0"/>
                <w:color w:val="1B1B1B"/>
                <w:shd w:val="clear" w:color="auto" w:fill="FFFFFF"/>
                <w:lang w:val="ro-RO"/>
              </w:rPr>
            </w:pPr>
            <w:r w:rsidRPr="001C0908">
              <w:rPr>
                <w:rFonts w:cs="Arial"/>
                <w:b w:val="0"/>
                <w:color w:val="1B1B1B"/>
                <w:shd w:val="clear" w:color="auto" w:fill="FFFFFF"/>
                <w:lang w:val="ro-RO"/>
              </w:rPr>
              <w:t xml:space="preserve">Garantarea </w:t>
            </w:r>
            <w:r w:rsidR="00B83C7E" w:rsidRPr="001C0908">
              <w:rPr>
                <w:rFonts w:cs="Arial"/>
                <w:b w:val="0"/>
                <w:color w:val="1B1B1B"/>
                <w:shd w:val="clear" w:color="auto" w:fill="FFFFFF"/>
                <w:lang w:val="ro-RO"/>
              </w:rPr>
              <w:t>facilit</w:t>
            </w:r>
            <w:r w:rsidRPr="001C0908">
              <w:rPr>
                <w:rFonts w:cs="Arial"/>
                <w:b w:val="0"/>
                <w:color w:val="1B1B1B"/>
                <w:shd w:val="clear" w:color="auto" w:fill="FFFFFF"/>
                <w:lang w:val="ro-RO"/>
              </w:rPr>
              <w:t>a</w:t>
            </w:r>
            <w:r w:rsidR="00B83C7E" w:rsidRPr="001C0908">
              <w:rPr>
                <w:rFonts w:cs="Arial"/>
                <w:b w:val="0"/>
                <w:color w:val="1B1B1B"/>
                <w:shd w:val="clear" w:color="auto" w:fill="FFFFFF"/>
                <w:lang w:val="ro-RO"/>
              </w:rPr>
              <w:t>t</w:t>
            </w:r>
            <w:r w:rsidRPr="001C0908">
              <w:rPr>
                <w:rFonts w:cs="Arial"/>
                <w:b w:val="0"/>
                <w:color w:val="1B1B1B"/>
                <w:shd w:val="clear" w:color="auto" w:fill="FFFFFF"/>
                <w:lang w:val="ro-RO"/>
              </w:rPr>
              <w:t xml:space="preserve">ilor de credit acordate in baza Contractelor de Facilitate de Credit </w:t>
            </w:r>
            <w:r w:rsidR="00B83C7E" w:rsidRPr="001C0908">
              <w:rPr>
                <w:rFonts w:cs="Arial"/>
                <w:b w:val="0"/>
                <w:color w:val="1B1B1B"/>
                <w:shd w:val="clear" w:color="auto" w:fill="FFFFFF"/>
                <w:lang w:val="ro-RO"/>
              </w:rPr>
              <w:t xml:space="preserve"> de tip R</w:t>
            </w:r>
            <w:r w:rsidRPr="001C0908">
              <w:rPr>
                <w:rFonts w:cs="Arial"/>
                <w:b w:val="0"/>
                <w:color w:val="1B1B1B"/>
                <w:shd w:val="clear" w:color="auto" w:fill="FFFFFF"/>
                <w:lang w:val="ro-RO"/>
              </w:rPr>
              <w:t>evolving se va face, inter alia, prin garantii constituite de Ciech SA si Garanti, in scopul garantarii datoriei paralele create in baza unui contract intre creditori, incheiat la 28 noiembrie 2012</w:t>
            </w:r>
            <w:r w:rsidR="008109CC" w:rsidRPr="001C0908">
              <w:rPr>
                <w:rFonts w:cs="Arial"/>
                <w:b w:val="0"/>
                <w:color w:val="1B1B1B"/>
                <w:shd w:val="clear" w:color="auto" w:fill="FFFFFF"/>
                <w:lang w:val="ro-RO"/>
              </w:rPr>
              <w:t xml:space="preserve"> (“</w:t>
            </w:r>
            <w:r w:rsidR="008109CC" w:rsidRPr="001C0908">
              <w:rPr>
                <w:rFonts w:cs="Arial"/>
                <w:color w:val="1B1B1B"/>
                <w:shd w:val="clear" w:color="auto" w:fill="FFFFFF"/>
                <w:lang w:val="ro-RO"/>
              </w:rPr>
              <w:t>Contractul intre  Creditori</w:t>
            </w:r>
            <w:r w:rsidR="008109CC" w:rsidRPr="001C0908">
              <w:rPr>
                <w:rFonts w:cs="Arial"/>
                <w:b w:val="0"/>
                <w:color w:val="1B1B1B"/>
                <w:shd w:val="clear" w:color="auto" w:fill="FFFFFF"/>
                <w:lang w:val="ro-RO"/>
              </w:rPr>
              <w:t>”)</w:t>
            </w:r>
            <w:r w:rsidRPr="001C0908">
              <w:rPr>
                <w:rFonts w:cs="Arial"/>
                <w:b w:val="0"/>
                <w:color w:val="1B1B1B"/>
                <w:shd w:val="clear" w:color="auto" w:fill="FFFFFF"/>
                <w:lang w:val="ro-RO"/>
              </w:rPr>
              <w:t>.</w:t>
            </w:r>
          </w:p>
        </w:tc>
        <w:tc>
          <w:tcPr>
            <w:tcW w:w="4675" w:type="dxa"/>
            <w:tcBorders>
              <w:top w:val="nil"/>
              <w:left w:val="nil"/>
              <w:bottom w:val="nil"/>
              <w:right w:val="nil"/>
            </w:tcBorders>
          </w:tcPr>
          <w:p w:rsidR="00A2785E" w:rsidRPr="001C0908" w:rsidRDefault="00286FBB" w:rsidP="00FB5801">
            <w:pPr>
              <w:pStyle w:val="Heading1"/>
              <w:widowControl w:val="0"/>
              <w:numPr>
                <w:ilvl w:val="0"/>
                <w:numId w:val="0"/>
              </w:numPr>
              <w:spacing w:after="0"/>
              <w:outlineLvl w:val="0"/>
            </w:pPr>
            <w:r w:rsidRPr="001C0908">
              <w:rPr>
                <w:rFonts w:cs="Arial"/>
                <w:b w:val="0"/>
                <w:color w:val="1B1B1B"/>
                <w:shd w:val="clear" w:color="auto" w:fill="FFFFFF"/>
              </w:rPr>
              <w:t xml:space="preserve">The credit facilities granted under the Revolving Credit Facility Agreements will be secured, inter alia, with </w:t>
            </w:r>
            <w:r w:rsidR="00FB5801">
              <w:rPr>
                <w:rFonts w:cs="Arial"/>
                <w:b w:val="0"/>
                <w:color w:val="1B1B1B"/>
                <w:shd w:val="clear" w:color="auto" w:fill="FFFFFF"/>
              </w:rPr>
              <w:t>security interests</w:t>
            </w:r>
            <w:r w:rsidRPr="001C0908">
              <w:rPr>
                <w:rFonts w:cs="Arial"/>
                <w:b w:val="0"/>
                <w:color w:val="1B1B1B"/>
                <w:shd w:val="clear" w:color="auto" w:fill="FFFFFF"/>
              </w:rPr>
              <w:t xml:space="preserve"> established by </w:t>
            </w:r>
            <w:proofErr w:type="spellStart"/>
            <w:r w:rsidRPr="001C0908">
              <w:rPr>
                <w:rFonts w:cs="Arial"/>
                <w:b w:val="0"/>
                <w:color w:val="1B1B1B"/>
                <w:shd w:val="clear" w:color="auto" w:fill="FFFFFF"/>
              </w:rPr>
              <w:t>Ciech</w:t>
            </w:r>
            <w:proofErr w:type="spellEnd"/>
            <w:r w:rsidRPr="001C0908">
              <w:rPr>
                <w:rFonts w:cs="Arial"/>
                <w:b w:val="0"/>
                <w:color w:val="1B1B1B"/>
                <w:shd w:val="clear" w:color="auto" w:fill="FFFFFF"/>
              </w:rPr>
              <w:t xml:space="preserve"> SA and the Guarantors</w:t>
            </w:r>
            <w:r w:rsidR="00811565">
              <w:rPr>
                <w:rFonts w:cs="Arial"/>
                <w:b w:val="0"/>
                <w:color w:val="1B1B1B"/>
                <w:shd w:val="clear" w:color="auto" w:fill="FFFFFF"/>
              </w:rPr>
              <w:t xml:space="preserve"> </w:t>
            </w:r>
            <w:r w:rsidRPr="001C0908">
              <w:rPr>
                <w:rFonts w:cs="Arial"/>
                <w:b w:val="0"/>
                <w:color w:val="1B1B1B"/>
                <w:shd w:val="clear" w:color="auto" w:fill="FFFFFF"/>
              </w:rPr>
              <w:t>to secure the parallel debt created under the agreement concluded between the creditors on 28 November 2012</w:t>
            </w:r>
            <w:r w:rsidR="008109CC" w:rsidRPr="001C0908">
              <w:rPr>
                <w:rFonts w:cs="Arial"/>
                <w:b w:val="0"/>
                <w:color w:val="1B1B1B"/>
                <w:shd w:val="clear" w:color="auto" w:fill="FFFFFF"/>
              </w:rPr>
              <w:t xml:space="preserve"> (the “</w:t>
            </w:r>
            <w:r w:rsidR="008109CC" w:rsidRPr="001C0908">
              <w:rPr>
                <w:rFonts w:cs="Arial"/>
                <w:color w:val="1B1B1B"/>
                <w:shd w:val="clear" w:color="auto" w:fill="FFFFFF"/>
              </w:rPr>
              <w:t>Intercreditor Agreement</w:t>
            </w:r>
            <w:r w:rsidR="008109CC" w:rsidRPr="001C0908">
              <w:rPr>
                <w:rFonts w:cs="Arial"/>
                <w:b w:val="0"/>
                <w:color w:val="1B1B1B"/>
                <w:shd w:val="clear" w:color="auto" w:fill="FFFFFF"/>
              </w:rPr>
              <w:t>”).</w:t>
            </w:r>
          </w:p>
        </w:tc>
      </w:tr>
      <w:tr w:rsidR="00C90D0F" w:rsidRPr="001C0908" w:rsidTr="00D30714">
        <w:trPr>
          <w:trHeight w:val="260"/>
        </w:trPr>
        <w:tc>
          <w:tcPr>
            <w:tcW w:w="4675" w:type="dxa"/>
            <w:tcBorders>
              <w:top w:val="nil"/>
              <w:left w:val="nil"/>
              <w:bottom w:val="nil"/>
              <w:right w:val="nil"/>
            </w:tcBorders>
          </w:tcPr>
          <w:p w:rsidR="00A9493F" w:rsidRPr="001C0908" w:rsidRDefault="00A9493F" w:rsidP="00A9493F">
            <w:pPr>
              <w:pStyle w:val="Heading1"/>
              <w:widowControl w:val="0"/>
              <w:numPr>
                <w:ilvl w:val="0"/>
                <w:numId w:val="0"/>
              </w:numPr>
              <w:spacing w:after="0"/>
              <w:outlineLvl w:val="0"/>
              <w:rPr>
                <w:rFonts w:cs="Arial"/>
                <w:b w:val="0"/>
                <w:color w:val="1B1B1B"/>
                <w:shd w:val="clear" w:color="auto" w:fill="FFFFFF"/>
                <w:lang w:val="ro-RO"/>
              </w:rPr>
            </w:pPr>
            <w:r w:rsidRPr="001C0908">
              <w:rPr>
                <w:rFonts w:cs="Arial"/>
                <w:b w:val="0"/>
                <w:color w:val="1B1B1B"/>
                <w:shd w:val="clear" w:color="auto" w:fill="FFFFFF"/>
                <w:lang w:val="ro-RO"/>
              </w:rPr>
              <w:lastRenderedPageBreak/>
              <w:t>In cadrul fieca</w:t>
            </w:r>
            <w:r w:rsidR="00840861" w:rsidRPr="001C0908">
              <w:rPr>
                <w:rFonts w:cs="Arial"/>
                <w:b w:val="0"/>
                <w:color w:val="1B1B1B"/>
                <w:shd w:val="clear" w:color="auto" w:fill="FFFFFF"/>
                <w:lang w:val="ro-RO"/>
              </w:rPr>
              <w:t xml:space="preserve">ruia dintre Contractele de Facilitate </w:t>
            </w:r>
            <w:r w:rsidR="00D20662" w:rsidRPr="001C0908">
              <w:rPr>
                <w:rFonts w:cs="Arial"/>
                <w:b w:val="0"/>
                <w:color w:val="1B1B1B"/>
                <w:shd w:val="clear" w:color="auto" w:fill="FFFFFF"/>
                <w:lang w:val="ro-RO"/>
              </w:rPr>
              <w:t xml:space="preserve">de Credit </w:t>
            </w:r>
            <w:r w:rsidR="00840861" w:rsidRPr="001C0908">
              <w:rPr>
                <w:rFonts w:cs="Arial"/>
                <w:b w:val="0"/>
                <w:color w:val="1B1B1B"/>
                <w:shd w:val="clear" w:color="auto" w:fill="FFFFFF"/>
                <w:lang w:val="ro-RO"/>
              </w:rPr>
              <w:t>de tip Revolving, Ciech SA s</w:t>
            </w:r>
            <w:r w:rsidRPr="001C0908">
              <w:rPr>
                <w:rFonts w:cs="Arial"/>
                <w:b w:val="0"/>
                <w:color w:val="1B1B1B"/>
                <w:shd w:val="clear" w:color="auto" w:fill="FFFFFF"/>
                <w:lang w:val="ro-RO"/>
              </w:rPr>
              <w:t xml:space="preserve">i </w:t>
            </w:r>
            <w:r w:rsidR="00840861" w:rsidRPr="001C0908">
              <w:rPr>
                <w:rFonts w:cs="Arial"/>
                <w:b w:val="0"/>
                <w:color w:val="1B1B1B"/>
                <w:shd w:val="clear" w:color="auto" w:fill="FFFFFF"/>
                <w:lang w:val="ro-RO"/>
              </w:rPr>
              <w:t>Garantii</w:t>
            </w:r>
            <w:r w:rsidRPr="001C0908">
              <w:rPr>
                <w:rFonts w:cs="Arial"/>
                <w:b w:val="0"/>
                <w:color w:val="1B1B1B"/>
                <w:shd w:val="clear" w:color="auto" w:fill="FFFFFF"/>
                <w:lang w:val="ro-RO"/>
              </w:rPr>
              <w:t xml:space="preserve"> au convenit, printre altele:</w:t>
            </w:r>
          </w:p>
          <w:p w:rsidR="00C90D0F" w:rsidRPr="001C0908" w:rsidRDefault="00840861" w:rsidP="00720EA2">
            <w:pPr>
              <w:pStyle w:val="Heading1"/>
              <w:widowControl w:val="0"/>
              <w:numPr>
                <w:ilvl w:val="0"/>
                <w:numId w:val="0"/>
              </w:numPr>
              <w:spacing w:after="0"/>
              <w:outlineLvl w:val="0"/>
              <w:rPr>
                <w:rFonts w:cs="Arial"/>
                <w:b w:val="0"/>
                <w:color w:val="1B1B1B"/>
                <w:shd w:val="clear" w:color="auto" w:fill="FFFFFF"/>
                <w:lang w:val="ro-RO"/>
              </w:rPr>
            </w:pPr>
            <w:r w:rsidRPr="001C0908">
              <w:rPr>
                <w:rFonts w:cs="Arial"/>
                <w:b w:val="0"/>
                <w:color w:val="1B1B1B"/>
                <w:shd w:val="clear" w:color="auto" w:fill="FFFFFF"/>
                <w:lang w:val="ro-RO"/>
              </w:rPr>
              <w:t>1) sa respecte restrict</w:t>
            </w:r>
            <w:r w:rsidR="00A9493F" w:rsidRPr="001C0908">
              <w:rPr>
                <w:rFonts w:cs="Arial"/>
                <w:b w:val="0"/>
                <w:color w:val="1B1B1B"/>
                <w:shd w:val="clear" w:color="auto" w:fill="FFFFFF"/>
                <w:lang w:val="ro-RO"/>
              </w:rPr>
              <w:t>iile</w:t>
            </w:r>
            <w:r w:rsidR="00720EA2">
              <w:rPr>
                <w:rFonts w:cs="Arial"/>
                <w:b w:val="0"/>
                <w:color w:val="1B1B1B"/>
                <w:shd w:val="clear" w:color="auto" w:fill="FFFFFF"/>
                <w:lang w:val="ro-RO"/>
              </w:rPr>
              <w:t xml:space="preserve"> </w:t>
            </w:r>
            <w:r w:rsidR="00720EA2" w:rsidRPr="001C0908">
              <w:rPr>
                <w:rFonts w:cs="Arial"/>
                <w:b w:val="0"/>
                <w:color w:val="1B1B1B"/>
                <w:shd w:val="clear" w:color="auto" w:fill="FFFFFF"/>
                <w:lang w:val="ro-RO"/>
              </w:rPr>
              <w:t xml:space="preserve"> </w:t>
            </w:r>
            <w:r w:rsidR="00720EA2" w:rsidRPr="001C0908">
              <w:rPr>
                <w:rFonts w:cs="Arial"/>
                <w:b w:val="0"/>
                <w:color w:val="1B1B1B"/>
                <w:shd w:val="clear" w:color="auto" w:fill="FFFFFF"/>
                <w:lang w:val="ro-RO"/>
              </w:rPr>
              <w:t>referitoare la actele de dispozitie cu privire la active</w:t>
            </w:r>
            <w:r w:rsidR="00A9493F" w:rsidRPr="001C0908">
              <w:rPr>
                <w:rFonts w:cs="Arial"/>
                <w:b w:val="0"/>
                <w:color w:val="1B1B1B"/>
                <w:shd w:val="clear" w:color="auto" w:fill="FFFFFF"/>
                <w:lang w:val="ro-RO"/>
              </w:rPr>
              <w:t xml:space="preserve"> </w:t>
            </w:r>
            <w:r w:rsidR="00720EA2">
              <w:rPr>
                <w:rFonts w:cs="Arial"/>
                <w:b w:val="0"/>
                <w:color w:val="1B1B1B"/>
                <w:shd w:val="clear" w:color="auto" w:fill="FFFFFF"/>
                <w:lang w:val="ro-RO"/>
              </w:rPr>
              <w:t>astfel cum au fost definite in</w:t>
            </w:r>
            <w:bookmarkStart w:id="0" w:name="_GoBack"/>
            <w:bookmarkEnd w:id="0"/>
            <w:r w:rsidR="00114191" w:rsidRPr="001C0908">
              <w:rPr>
                <w:rFonts w:cs="Arial"/>
                <w:b w:val="0"/>
                <w:color w:val="1B1B1B"/>
                <w:shd w:val="clear" w:color="auto" w:fill="FFFFFF"/>
                <w:lang w:val="ro-RO"/>
              </w:rPr>
              <w:t xml:space="preserve"> Contractele de Facilitate de Credit de tip Revolving, </w:t>
            </w:r>
            <w:r w:rsidR="00D20662" w:rsidRPr="001C0908">
              <w:rPr>
                <w:rFonts w:cs="Arial"/>
                <w:b w:val="0"/>
                <w:color w:val="1B1B1B"/>
                <w:shd w:val="clear" w:color="auto" w:fill="FFFFFF"/>
                <w:lang w:val="ro-RO"/>
              </w:rPr>
              <w:t xml:space="preserve">cu exceptia </w:t>
            </w:r>
            <w:r w:rsidR="00114191" w:rsidRPr="001C0908">
              <w:rPr>
                <w:rFonts w:cs="Arial"/>
                <w:b w:val="0"/>
                <w:color w:val="1B1B1B"/>
                <w:shd w:val="clear" w:color="auto" w:fill="FFFFFF"/>
                <w:lang w:val="ro-RO"/>
              </w:rPr>
              <w:t>act</w:t>
            </w:r>
            <w:r w:rsidR="00121A21" w:rsidRPr="001C0908">
              <w:rPr>
                <w:rFonts w:cs="Arial"/>
                <w:b w:val="0"/>
                <w:color w:val="1B1B1B"/>
                <w:shd w:val="clear" w:color="auto" w:fill="FFFFFF"/>
                <w:lang w:val="ro-RO"/>
              </w:rPr>
              <w:t>e</w:t>
            </w:r>
            <w:r w:rsidR="00114191" w:rsidRPr="001C0908">
              <w:rPr>
                <w:rFonts w:cs="Arial"/>
                <w:b w:val="0"/>
                <w:color w:val="1B1B1B"/>
                <w:shd w:val="clear" w:color="auto" w:fill="FFFFFF"/>
                <w:lang w:val="ro-RO"/>
              </w:rPr>
              <w:t xml:space="preserve">lor de dispozitie </w:t>
            </w:r>
            <w:r w:rsidR="00121A21" w:rsidRPr="001C0908">
              <w:rPr>
                <w:rFonts w:cs="Arial"/>
                <w:b w:val="0"/>
                <w:color w:val="1B1B1B"/>
                <w:shd w:val="clear" w:color="auto" w:fill="FFFFFF"/>
                <w:lang w:val="ro-RO"/>
              </w:rPr>
              <w:t>p</w:t>
            </w:r>
            <w:r w:rsidR="00114191" w:rsidRPr="001C0908">
              <w:rPr>
                <w:rFonts w:cs="Arial"/>
                <w:b w:val="0"/>
                <w:color w:val="1B1B1B"/>
                <w:shd w:val="clear" w:color="auto" w:fill="FFFFFF"/>
                <w:lang w:val="ro-RO"/>
              </w:rPr>
              <w:t>e</w:t>
            </w:r>
            <w:r w:rsidR="00121A21" w:rsidRPr="001C0908">
              <w:rPr>
                <w:rFonts w:cs="Arial"/>
                <w:b w:val="0"/>
                <w:color w:val="1B1B1B"/>
                <w:shd w:val="clear" w:color="auto" w:fill="FFFFFF"/>
                <w:lang w:val="ro-RO"/>
              </w:rPr>
              <w:t>r</w:t>
            </w:r>
            <w:r w:rsidR="00114191" w:rsidRPr="001C0908">
              <w:rPr>
                <w:rFonts w:cs="Arial"/>
                <w:b w:val="0"/>
                <w:color w:val="1B1B1B"/>
                <w:shd w:val="clear" w:color="auto" w:fill="FFFFFF"/>
                <w:lang w:val="ro-RO"/>
              </w:rPr>
              <w:t xml:space="preserve">mise </w:t>
            </w:r>
            <w:r w:rsidR="00121A21" w:rsidRPr="001C0908">
              <w:rPr>
                <w:rFonts w:cs="Arial"/>
                <w:b w:val="0"/>
                <w:color w:val="1B1B1B"/>
                <w:shd w:val="clear" w:color="auto" w:fill="FFFFFF"/>
                <w:lang w:val="ro-RO"/>
              </w:rPr>
              <w:t xml:space="preserve">prin </w:t>
            </w:r>
            <w:r w:rsidR="00D20662" w:rsidRPr="001C0908">
              <w:rPr>
                <w:rFonts w:cs="Arial"/>
                <w:b w:val="0"/>
                <w:color w:val="1B1B1B"/>
                <w:shd w:val="clear" w:color="auto" w:fill="FFFFFF"/>
                <w:lang w:val="ro-RO"/>
              </w:rPr>
              <w:t>Contractele de Facilitate de Credit de tip Revolving;</w:t>
            </w:r>
          </w:p>
        </w:tc>
        <w:tc>
          <w:tcPr>
            <w:tcW w:w="4675" w:type="dxa"/>
            <w:tcBorders>
              <w:top w:val="nil"/>
              <w:left w:val="nil"/>
              <w:bottom w:val="nil"/>
              <w:right w:val="nil"/>
            </w:tcBorders>
          </w:tcPr>
          <w:p w:rsidR="008109CC" w:rsidRPr="001C0908" w:rsidRDefault="008109CC" w:rsidP="008109CC">
            <w:pPr>
              <w:pStyle w:val="Heading1"/>
              <w:widowControl w:val="0"/>
              <w:numPr>
                <w:ilvl w:val="0"/>
                <w:numId w:val="0"/>
              </w:numPr>
              <w:spacing w:after="0"/>
              <w:outlineLvl w:val="0"/>
              <w:rPr>
                <w:rFonts w:cs="Arial"/>
                <w:b w:val="0"/>
                <w:color w:val="1B1B1B"/>
                <w:shd w:val="clear" w:color="auto" w:fill="FFFFFF"/>
              </w:rPr>
            </w:pPr>
            <w:r w:rsidRPr="008109CC">
              <w:rPr>
                <w:rFonts w:cs="Arial"/>
                <w:b w:val="0"/>
                <w:color w:val="1B1B1B"/>
                <w:shd w:val="clear" w:color="auto" w:fill="FFFFFF"/>
              </w:rPr>
              <w:t xml:space="preserve">Under each of the </w:t>
            </w:r>
            <w:r w:rsidR="00A9493F" w:rsidRPr="001C0908">
              <w:rPr>
                <w:rFonts w:cs="Arial"/>
                <w:b w:val="0"/>
                <w:color w:val="1B1B1B"/>
                <w:shd w:val="clear" w:color="auto" w:fill="FFFFFF"/>
              </w:rPr>
              <w:t>Revolving Credit Facility</w:t>
            </w:r>
            <w:r w:rsidRPr="008109CC">
              <w:rPr>
                <w:rFonts w:cs="Arial"/>
                <w:b w:val="0"/>
                <w:color w:val="1B1B1B"/>
                <w:shd w:val="clear" w:color="auto" w:fill="FFFFFF"/>
              </w:rPr>
              <w:t xml:space="preserve"> Agreements, </w:t>
            </w:r>
            <w:proofErr w:type="spellStart"/>
            <w:r w:rsidRPr="001C0908">
              <w:rPr>
                <w:rFonts w:cs="Arial"/>
                <w:b w:val="0"/>
                <w:color w:val="1B1B1B"/>
                <w:shd w:val="clear" w:color="auto" w:fill="FFFFFF"/>
              </w:rPr>
              <w:t>Ciech</w:t>
            </w:r>
            <w:proofErr w:type="spellEnd"/>
            <w:r w:rsidRPr="001C0908">
              <w:rPr>
                <w:rFonts w:cs="Arial"/>
                <w:b w:val="0"/>
                <w:color w:val="1B1B1B"/>
                <w:shd w:val="clear" w:color="auto" w:fill="FFFFFF"/>
              </w:rPr>
              <w:t xml:space="preserve"> SA</w:t>
            </w:r>
            <w:r w:rsidRPr="008109CC">
              <w:rPr>
                <w:rFonts w:cs="Arial"/>
                <w:b w:val="0"/>
                <w:color w:val="1B1B1B"/>
                <w:shd w:val="clear" w:color="auto" w:fill="FFFFFF"/>
              </w:rPr>
              <w:t xml:space="preserve"> and the Guarantors have further agreed to, inter alia:</w:t>
            </w:r>
          </w:p>
          <w:p w:rsidR="00C90D0F" w:rsidRPr="001C0908" w:rsidRDefault="008109CC" w:rsidP="00FB5801">
            <w:pPr>
              <w:pStyle w:val="Heading1"/>
              <w:widowControl w:val="0"/>
              <w:numPr>
                <w:ilvl w:val="0"/>
                <w:numId w:val="0"/>
              </w:numPr>
              <w:spacing w:after="0"/>
              <w:outlineLvl w:val="0"/>
              <w:rPr>
                <w:rFonts w:cs="Arial"/>
                <w:b w:val="0"/>
                <w:color w:val="1B1B1B"/>
                <w:shd w:val="clear" w:color="auto" w:fill="FFFFFF"/>
              </w:rPr>
            </w:pPr>
            <w:r w:rsidRPr="001C0908">
              <w:rPr>
                <w:rFonts w:cs="Arial"/>
                <w:b w:val="0"/>
                <w:color w:val="1B1B1B"/>
                <w:shd w:val="clear" w:color="auto" w:fill="FFFFFF"/>
              </w:rPr>
              <w:t xml:space="preserve">1) </w:t>
            </w:r>
            <w:r w:rsidR="00720EA2">
              <w:t xml:space="preserve"> </w:t>
            </w:r>
            <w:proofErr w:type="gramStart"/>
            <w:r w:rsidR="00720EA2" w:rsidRPr="00720EA2">
              <w:rPr>
                <w:rFonts w:cs="Arial"/>
                <w:b w:val="0"/>
                <w:color w:val="1B1B1B"/>
                <w:shd w:val="clear" w:color="auto" w:fill="FFFFFF"/>
              </w:rPr>
              <w:t>comply</w:t>
            </w:r>
            <w:proofErr w:type="gramEnd"/>
            <w:r w:rsidR="00720EA2" w:rsidRPr="00720EA2">
              <w:rPr>
                <w:rFonts w:cs="Arial"/>
                <w:b w:val="0"/>
                <w:color w:val="1B1B1B"/>
                <w:shd w:val="clear" w:color="auto" w:fill="FFFFFF"/>
              </w:rPr>
              <w:t xml:space="preserve"> with the restrictions on the disposal of assets as defined in the Credit Facilities Agreements, except for the permitted disposals defined in the Credit Facilities Agreements</w:t>
            </w:r>
            <w:r w:rsidRPr="008109CC">
              <w:rPr>
                <w:rFonts w:cs="Arial"/>
                <w:b w:val="0"/>
                <w:color w:val="1B1B1B"/>
                <w:shd w:val="clear" w:color="auto" w:fill="FFFFFF"/>
              </w:rPr>
              <w:t>;</w:t>
            </w:r>
          </w:p>
        </w:tc>
      </w:tr>
      <w:tr w:rsidR="00D20662" w:rsidRPr="001C0908" w:rsidTr="00D30714">
        <w:tc>
          <w:tcPr>
            <w:tcW w:w="4675" w:type="dxa"/>
            <w:tcBorders>
              <w:top w:val="nil"/>
              <w:left w:val="nil"/>
              <w:bottom w:val="nil"/>
              <w:right w:val="nil"/>
            </w:tcBorders>
          </w:tcPr>
          <w:p w:rsidR="00D20662" w:rsidRPr="001C0908" w:rsidRDefault="0058476F" w:rsidP="00F34E8D">
            <w:pPr>
              <w:pStyle w:val="Heading1"/>
              <w:widowControl w:val="0"/>
              <w:numPr>
                <w:ilvl w:val="0"/>
                <w:numId w:val="0"/>
              </w:numPr>
              <w:spacing w:after="0"/>
              <w:outlineLvl w:val="0"/>
              <w:rPr>
                <w:rFonts w:cs="Arial"/>
                <w:b w:val="0"/>
                <w:color w:val="1B1B1B"/>
                <w:shd w:val="clear" w:color="auto" w:fill="FFFFFF"/>
                <w:lang w:val="ro-RO"/>
              </w:rPr>
            </w:pPr>
            <w:r w:rsidRPr="001C0908">
              <w:rPr>
                <w:rFonts w:cs="Arial"/>
                <w:b w:val="0"/>
                <w:color w:val="1B1B1B"/>
                <w:shd w:val="clear" w:color="auto" w:fill="FFFFFF"/>
                <w:lang w:val="ro-RO"/>
              </w:rPr>
              <w:t>2) sa n</w:t>
            </w:r>
            <w:r w:rsidR="00D20662" w:rsidRPr="001C0908">
              <w:rPr>
                <w:rFonts w:cs="Arial"/>
                <w:b w:val="0"/>
                <w:color w:val="1B1B1B"/>
                <w:shd w:val="clear" w:color="auto" w:fill="FFFFFF"/>
                <w:lang w:val="ro-RO"/>
              </w:rPr>
              <w:t xml:space="preserve">u </w:t>
            </w:r>
            <w:r w:rsidRPr="001C0908">
              <w:rPr>
                <w:rFonts w:cs="Arial"/>
                <w:b w:val="0"/>
                <w:color w:val="1B1B1B"/>
                <w:shd w:val="clear" w:color="auto" w:fill="FFFFFF"/>
                <w:lang w:val="ro-RO"/>
              </w:rPr>
              <w:t>achite</w:t>
            </w:r>
            <w:r w:rsidR="00D20662" w:rsidRPr="001C0908">
              <w:rPr>
                <w:rFonts w:cs="Arial"/>
                <w:b w:val="0"/>
                <w:color w:val="1B1B1B"/>
                <w:shd w:val="clear" w:color="auto" w:fill="FFFFFF"/>
                <w:lang w:val="ro-RO"/>
              </w:rPr>
              <w:t xml:space="preserve"> dividende in </w:t>
            </w:r>
            <w:r w:rsidR="00F34E8D">
              <w:rPr>
                <w:rFonts w:cs="Arial"/>
                <w:b w:val="0"/>
                <w:color w:val="1B1B1B"/>
                <w:shd w:val="clear" w:color="auto" w:fill="FFFFFF"/>
                <w:lang w:val="ro-RO"/>
              </w:rPr>
              <w:t>situatia</w:t>
            </w:r>
            <w:r w:rsidR="00D20662" w:rsidRPr="001C0908">
              <w:rPr>
                <w:rFonts w:cs="Arial"/>
                <w:b w:val="0"/>
                <w:color w:val="1B1B1B"/>
                <w:shd w:val="clear" w:color="auto" w:fill="FFFFFF"/>
                <w:lang w:val="ro-RO"/>
              </w:rPr>
              <w:t xml:space="preserve"> in care este depasit nivelul indic</w:t>
            </w:r>
            <w:r w:rsidRPr="001C0908">
              <w:rPr>
                <w:rFonts w:cs="Arial"/>
                <w:b w:val="0"/>
                <w:color w:val="1B1B1B"/>
                <w:shd w:val="clear" w:color="auto" w:fill="FFFFFF"/>
                <w:lang w:val="ro-RO"/>
              </w:rPr>
              <w:t>atorului</w:t>
            </w:r>
            <w:r w:rsidR="00D20662" w:rsidRPr="001C0908">
              <w:rPr>
                <w:rFonts w:cs="Arial"/>
                <w:b w:val="0"/>
                <w:color w:val="1B1B1B"/>
                <w:shd w:val="clear" w:color="auto" w:fill="FFFFFF"/>
                <w:lang w:val="ro-RO"/>
              </w:rPr>
              <w:t xml:space="preserve"> financiar definit in Contractele de Facilitate de Credit de tip Revolving;</w:t>
            </w:r>
          </w:p>
        </w:tc>
        <w:tc>
          <w:tcPr>
            <w:tcW w:w="4675" w:type="dxa"/>
            <w:tcBorders>
              <w:top w:val="nil"/>
              <w:left w:val="nil"/>
              <w:bottom w:val="nil"/>
              <w:right w:val="nil"/>
            </w:tcBorders>
          </w:tcPr>
          <w:p w:rsidR="00D20662" w:rsidRPr="008109CC" w:rsidRDefault="00D20662" w:rsidP="00D20662">
            <w:pPr>
              <w:pStyle w:val="Heading1"/>
              <w:widowControl w:val="0"/>
              <w:numPr>
                <w:ilvl w:val="0"/>
                <w:numId w:val="0"/>
              </w:numPr>
              <w:spacing w:after="0"/>
              <w:outlineLvl w:val="0"/>
              <w:rPr>
                <w:rFonts w:cs="Arial"/>
                <w:b w:val="0"/>
                <w:color w:val="1B1B1B"/>
                <w:shd w:val="clear" w:color="auto" w:fill="FFFFFF"/>
              </w:rPr>
            </w:pPr>
            <w:r w:rsidRPr="001C0908">
              <w:rPr>
                <w:rFonts w:cs="Arial"/>
                <w:b w:val="0"/>
                <w:color w:val="1B1B1B"/>
                <w:shd w:val="clear" w:color="auto" w:fill="FFFFFF"/>
              </w:rPr>
              <w:t xml:space="preserve">2) </w:t>
            </w:r>
            <w:proofErr w:type="gramStart"/>
            <w:r w:rsidRPr="008109CC">
              <w:rPr>
                <w:rFonts w:cs="Arial"/>
                <w:b w:val="0"/>
                <w:color w:val="1B1B1B"/>
                <w:shd w:val="clear" w:color="auto" w:fill="FFFFFF"/>
              </w:rPr>
              <w:t>pay</w:t>
            </w:r>
            <w:proofErr w:type="gramEnd"/>
            <w:r w:rsidRPr="008109CC">
              <w:rPr>
                <w:rFonts w:cs="Arial"/>
                <w:b w:val="0"/>
                <w:color w:val="1B1B1B"/>
                <w:shd w:val="clear" w:color="auto" w:fill="FFFFFF"/>
              </w:rPr>
              <w:t xml:space="preserve"> no dividend in </w:t>
            </w:r>
            <w:r w:rsidR="00F34E8D">
              <w:rPr>
                <w:rFonts w:cs="Arial"/>
                <w:b w:val="0"/>
                <w:color w:val="1B1B1B"/>
                <w:shd w:val="clear" w:color="auto" w:fill="FFFFFF"/>
              </w:rPr>
              <w:t>a situation</w:t>
            </w:r>
            <w:r w:rsidR="00FB5801">
              <w:rPr>
                <w:rFonts w:cs="Arial"/>
                <w:b w:val="0"/>
                <w:color w:val="1B1B1B"/>
                <w:shd w:val="clear" w:color="auto" w:fill="FFFFFF"/>
              </w:rPr>
              <w:t xml:space="preserve"> where</w:t>
            </w:r>
            <w:r w:rsidRPr="008109CC">
              <w:rPr>
                <w:rFonts w:cs="Arial"/>
                <w:b w:val="0"/>
                <w:color w:val="1B1B1B"/>
                <w:shd w:val="clear" w:color="auto" w:fill="FFFFFF"/>
              </w:rPr>
              <w:t xml:space="preserve"> the financial index level defined in the </w:t>
            </w:r>
            <w:r w:rsidRPr="001C0908">
              <w:rPr>
                <w:rFonts w:cs="Arial"/>
                <w:b w:val="0"/>
                <w:color w:val="1B1B1B"/>
                <w:shd w:val="clear" w:color="auto" w:fill="FFFFFF"/>
              </w:rPr>
              <w:t xml:space="preserve">Revolving </w:t>
            </w:r>
            <w:r w:rsidRPr="008109CC">
              <w:rPr>
                <w:rFonts w:cs="Arial"/>
                <w:b w:val="0"/>
                <w:color w:val="1B1B1B"/>
                <w:shd w:val="clear" w:color="auto" w:fill="FFFFFF"/>
              </w:rPr>
              <w:t>Credit Facilit</w:t>
            </w:r>
            <w:r w:rsidRPr="001C0908">
              <w:rPr>
                <w:rFonts w:cs="Arial"/>
                <w:b w:val="0"/>
                <w:color w:val="1B1B1B"/>
                <w:shd w:val="clear" w:color="auto" w:fill="FFFFFF"/>
              </w:rPr>
              <w:t xml:space="preserve">y </w:t>
            </w:r>
            <w:r w:rsidRPr="008109CC">
              <w:rPr>
                <w:rFonts w:cs="Arial"/>
                <w:b w:val="0"/>
                <w:color w:val="1B1B1B"/>
                <w:shd w:val="clear" w:color="auto" w:fill="FFFFFF"/>
              </w:rPr>
              <w:t>Agreements is exceeded;</w:t>
            </w:r>
          </w:p>
          <w:p w:rsidR="00D20662" w:rsidRPr="001C0908" w:rsidRDefault="00D20662" w:rsidP="00D20662">
            <w:pPr>
              <w:pStyle w:val="Heading1"/>
              <w:widowControl w:val="0"/>
              <w:numPr>
                <w:ilvl w:val="0"/>
                <w:numId w:val="0"/>
              </w:numPr>
              <w:spacing w:after="0"/>
              <w:outlineLvl w:val="0"/>
              <w:rPr>
                <w:rFonts w:cs="Arial"/>
                <w:color w:val="1B1B1B"/>
                <w:shd w:val="clear" w:color="auto" w:fill="FFFFFF"/>
              </w:rPr>
            </w:pPr>
          </w:p>
        </w:tc>
      </w:tr>
      <w:tr w:rsidR="00D20662" w:rsidRPr="001C0908" w:rsidTr="00D30714">
        <w:tc>
          <w:tcPr>
            <w:tcW w:w="4675" w:type="dxa"/>
            <w:tcBorders>
              <w:top w:val="nil"/>
              <w:left w:val="nil"/>
              <w:bottom w:val="nil"/>
              <w:right w:val="nil"/>
            </w:tcBorders>
          </w:tcPr>
          <w:p w:rsidR="00D20662" w:rsidRPr="001C0908" w:rsidRDefault="00D20662" w:rsidP="0058476F">
            <w:pPr>
              <w:pStyle w:val="Heading1"/>
              <w:widowControl w:val="0"/>
              <w:numPr>
                <w:ilvl w:val="0"/>
                <w:numId w:val="0"/>
              </w:numPr>
              <w:spacing w:after="0"/>
              <w:outlineLvl w:val="0"/>
              <w:rPr>
                <w:rFonts w:eastAsia="Times New Roman" w:cs="Times New Roman"/>
                <w:iCs w:val="0"/>
                <w:color w:val="000000"/>
                <w:szCs w:val="26"/>
                <w:lang w:val="ro-RO"/>
              </w:rPr>
            </w:pPr>
            <w:r w:rsidRPr="001C0908">
              <w:rPr>
                <w:rFonts w:cs="Arial"/>
                <w:b w:val="0"/>
                <w:color w:val="1B1B1B"/>
                <w:shd w:val="clear" w:color="auto" w:fill="FFFFFF"/>
                <w:lang w:val="ro-RO"/>
              </w:rPr>
              <w:t xml:space="preserve">3) sa </w:t>
            </w:r>
            <w:r w:rsidR="0058476F" w:rsidRPr="001C0908">
              <w:rPr>
                <w:rFonts w:cs="Arial"/>
                <w:b w:val="0"/>
                <w:color w:val="1B1B1B"/>
                <w:shd w:val="clear" w:color="auto" w:fill="FFFFFF"/>
                <w:lang w:val="ro-RO"/>
              </w:rPr>
              <w:t>nu suporte</w:t>
            </w:r>
            <w:r w:rsidRPr="001C0908">
              <w:rPr>
                <w:rFonts w:cs="Arial"/>
                <w:b w:val="0"/>
                <w:color w:val="1B1B1B"/>
                <w:shd w:val="clear" w:color="auto" w:fill="FFFFFF"/>
                <w:lang w:val="ro-RO"/>
              </w:rPr>
              <w:t xml:space="preserve"> datorii financiare s</w:t>
            </w:r>
            <w:r w:rsidR="0058476F" w:rsidRPr="001C0908">
              <w:rPr>
                <w:rFonts w:cs="Arial"/>
                <w:b w:val="0"/>
                <w:color w:val="1B1B1B"/>
                <w:shd w:val="clear" w:color="auto" w:fill="FFFFFF"/>
                <w:lang w:val="ro-RO"/>
              </w:rPr>
              <w:t>i</w:t>
            </w:r>
            <w:r w:rsidRPr="001C0908">
              <w:rPr>
                <w:rFonts w:cs="Arial"/>
                <w:b w:val="0"/>
                <w:color w:val="1B1B1B"/>
                <w:shd w:val="clear" w:color="auto" w:fill="FFFFFF"/>
                <w:lang w:val="ro-RO"/>
              </w:rPr>
              <w:t xml:space="preserve"> sa </w:t>
            </w:r>
            <w:r w:rsidR="0058476F" w:rsidRPr="001C0908">
              <w:rPr>
                <w:rFonts w:cs="Arial"/>
                <w:b w:val="0"/>
                <w:color w:val="1B1B1B"/>
                <w:shd w:val="clear" w:color="auto" w:fill="FFFFFF"/>
                <w:lang w:val="ro-RO"/>
              </w:rPr>
              <w:t xml:space="preserve">nu </w:t>
            </w:r>
            <w:r w:rsidRPr="001C0908">
              <w:rPr>
                <w:rFonts w:cs="Arial"/>
                <w:b w:val="0"/>
                <w:color w:val="1B1B1B"/>
                <w:shd w:val="clear" w:color="auto" w:fill="FFFFFF"/>
                <w:lang w:val="ro-RO"/>
              </w:rPr>
              <w:t>acorde imprumuturi in situatia in care nivelul indic</w:t>
            </w:r>
            <w:r w:rsidR="0058476F" w:rsidRPr="001C0908">
              <w:rPr>
                <w:rFonts w:cs="Arial"/>
                <w:b w:val="0"/>
                <w:color w:val="1B1B1B"/>
                <w:shd w:val="clear" w:color="auto" w:fill="FFFFFF"/>
                <w:lang w:val="ro-RO"/>
              </w:rPr>
              <w:t>atorului</w:t>
            </w:r>
            <w:r w:rsidRPr="001C0908">
              <w:rPr>
                <w:rFonts w:cs="Arial"/>
                <w:b w:val="0"/>
                <w:color w:val="1B1B1B"/>
                <w:shd w:val="clear" w:color="auto" w:fill="FFFFFF"/>
                <w:lang w:val="ro-RO"/>
              </w:rPr>
              <w:t xml:space="preserve"> financiar definit in Contractele de Facilitate de Credit de tip Revolving este depasit;</w:t>
            </w:r>
          </w:p>
        </w:tc>
        <w:tc>
          <w:tcPr>
            <w:tcW w:w="4675" w:type="dxa"/>
            <w:tcBorders>
              <w:top w:val="nil"/>
              <w:left w:val="nil"/>
              <w:bottom w:val="nil"/>
              <w:right w:val="nil"/>
            </w:tcBorders>
          </w:tcPr>
          <w:p w:rsidR="00D20662" w:rsidRPr="008109CC" w:rsidRDefault="00D20662" w:rsidP="00D20662">
            <w:pPr>
              <w:pStyle w:val="Heading1"/>
              <w:widowControl w:val="0"/>
              <w:numPr>
                <w:ilvl w:val="0"/>
                <w:numId w:val="0"/>
              </w:numPr>
              <w:spacing w:after="0"/>
              <w:outlineLvl w:val="0"/>
              <w:rPr>
                <w:rFonts w:cs="Arial"/>
                <w:b w:val="0"/>
                <w:color w:val="1B1B1B"/>
                <w:shd w:val="clear" w:color="auto" w:fill="FFFFFF"/>
              </w:rPr>
            </w:pPr>
            <w:r w:rsidRPr="001C0908">
              <w:rPr>
                <w:rFonts w:cs="Arial"/>
                <w:b w:val="0"/>
                <w:color w:val="1B1B1B"/>
                <w:shd w:val="clear" w:color="auto" w:fill="FFFFFF"/>
              </w:rPr>
              <w:t xml:space="preserve">3) </w:t>
            </w:r>
            <w:proofErr w:type="gramStart"/>
            <w:r w:rsidRPr="008109CC">
              <w:rPr>
                <w:rFonts w:cs="Arial"/>
                <w:b w:val="0"/>
                <w:color w:val="1B1B1B"/>
                <w:shd w:val="clear" w:color="auto" w:fill="FFFFFF"/>
              </w:rPr>
              <w:t>refrain</w:t>
            </w:r>
            <w:proofErr w:type="gramEnd"/>
            <w:r w:rsidRPr="008109CC">
              <w:rPr>
                <w:rFonts w:cs="Arial"/>
                <w:b w:val="0"/>
                <w:color w:val="1B1B1B"/>
                <w:shd w:val="clear" w:color="auto" w:fill="FFFFFF"/>
              </w:rPr>
              <w:t xml:space="preserve"> from contracting financial debt or extending loans in a situation where the financial index level defined in the </w:t>
            </w:r>
            <w:r w:rsidRPr="001C0908">
              <w:rPr>
                <w:rFonts w:cs="Arial"/>
                <w:b w:val="0"/>
                <w:color w:val="1B1B1B"/>
                <w:shd w:val="clear" w:color="auto" w:fill="FFFFFF"/>
              </w:rPr>
              <w:t xml:space="preserve">Revolving </w:t>
            </w:r>
            <w:r w:rsidRPr="008109CC">
              <w:rPr>
                <w:rFonts w:cs="Arial"/>
                <w:b w:val="0"/>
                <w:color w:val="1B1B1B"/>
                <w:shd w:val="clear" w:color="auto" w:fill="FFFFFF"/>
              </w:rPr>
              <w:t>Credit Facilit</w:t>
            </w:r>
            <w:r w:rsidRPr="001C0908">
              <w:rPr>
                <w:rFonts w:cs="Arial"/>
                <w:b w:val="0"/>
                <w:color w:val="1B1B1B"/>
                <w:shd w:val="clear" w:color="auto" w:fill="FFFFFF"/>
              </w:rPr>
              <w:t xml:space="preserve">y </w:t>
            </w:r>
            <w:r w:rsidRPr="008109CC">
              <w:rPr>
                <w:rFonts w:cs="Arial"/>
                <w:b w:val="0"/>
                <w:color w:val="1B1B1B"/>
                <w:shd w:val="clear" w:color="auto" w:fill="FFFFFF"/>
              </w:rPr>
              <w:t xml:space="preserve">Agreements is exceeded; </w:t>
            </w:r>
          </w:p>
          <w:p w:rsidR="00D20662" w:rsidRPr="001C0908" w:rsidRDefault="00D20662" w:rsidP="00A2785E">
            <w:pPr>
              <w:rPr>
                <w:lang w:val="en-GB"/>
              </w:rPr>
            </w:pPr>
          </w:p>
        </w:tc>
      </w:tr>
      <w:tr w:rsidR="00A2785E" w:rsidRPr="001C0908" w:rsidTr="00B83C7E">
        <w:trPr>
          <w:trHeight w:val="3411"/>
        </w:trPr>
        <w:tc>
          <w:tcPr>
            <w:tcW w:w="4675" w:type="dxa"/>
            <w:tcBorders>
              <w:top w:val="nil"/>
              <w:left w:val="nil"/>
              <w:bottom w:val="nil"/>
              <w:right w:val="nil"/>
            </w:tcBorders>
          </w:tcPr>
          <w:p w:rsidR="009D0133" w:rsidRPr="009D0133" w:rsidRDefault="009D0133" w:rsidP="009D0133">
            <w:pPr>
              <w:keepNext/>
              <w:keepLines/>
              <w:widowControl w:val="0"/>
              <w:spacing w:after="200" w:line="320" w:lineRule="exact"/>
              <w:ind w:right="26"/>
              <w:jc w:val="both"/>
              <w:rPr>
                <w:rFonts w:ascii="Georgia" w:eastAsia="Times New Roman" w:hAnsi="Georgia" w:cs="Times New Roman"/>
                <w:iCs/>
                <w:color w:val="000000"/>
                <w:szCs w:val="26"/>
                <w:lang w:val="ro-RO"/>
              </w:rPr>
            </w:pPr>
            <w:r w:rsidRPr="009D0133">
              <w:rPr>
                <w:rFonts w:ascii="Georgia" w:eastAsia="Times New Roman" w:hAnsi="Georgia" w:cs="Times New Roman"/>
                <w:iCs/>
                <w:color w:val="000000"/>
                <w:szCs w:val="26"/>
                <w:lang w:val="ro-RO"/>
              </w:rPr>
              <w:t xml:space="preserve">Incheierea Contractelor de Facilitate de Credit de tip Revolving determina si </w:t>
            </w:r>
            <w:r w:rsidR="00FF7B1E" w:rsidRPr="001C0908">
              <w:rPr>
                <w:rFonts w:ascii="Georgia" w:eastAsia="Times New Roman" w:hAnsi="Georgia" w:cs="Times New Roman"/>
                <w:iCs/>
                <w:color w:val="000000"/>
                <w:szCs w:val="26"/>
                <w:lang w:val="ro-RO"/>
              </w:rPr>
              <w:t>incheierea urmatoarelor</w:t>
            </w:r>
            <w:r w:rsidRPr="009D0133">
              <w:rPr>
                <w:rFonts w:ascii="Georgia" w:eastAsia="Times New Roman" w:hAnsi="Georgia" w:cs="Times New Roman"/>
                <w:iCs/>
                <w:color w:val="000000"/>
                <w:szCs w:val="26"/>
                <w:lang w:val="ro-RO"/>
              </w:rPr>
              <w:t>:</w:t>
            </w:r>
          </w:p>
          <w:p w:rsidR="00A2785E" w:rsidRPr="001C0908" w:rsidRDefault="00FF7B1E" w:rsidP="00595C0C">
            <w:pPr>
              <w:keepNext/>
              <w:keepLines/>
              <w:widowControl w:val="0"/>
              <w:spacing w:after="200" w:line="320" w:lineRule="exact"/>
              <w:ind w:right="26"/>
              <w:jc w:val="both"/>
              <w:rPr>
                <w:rFonts w:ascii="Georgia" w:eastAsia="Times New Roman" w:hAnsi="Georgia" w:cs="Times New Roman"/>
                <w:iCs/>
                <w:color w:val="000000"/>
                <w:szCs w:val="26"/>
                <w:lang w:val="ro-RO"/>
              </w:rPr>
            </w:pPr>
            <w:r w:rsidRPr="001C0908">
              <w:rPr>
                <w:rFonts w:ascii="Georgia" w:eastAsia="Times New Roman" w:hAnsi="Georgia" w:cs="Times New Roman"/>
                <w:iCs/>
                <w:color w:val="000000"/>
                <w:szCs w:val="26"/>
                <w:lang w:val="ro-RO"/>
              </w:rPr>
              <w:t xml:space="preserve">1. </w:t>
            </w:r>
            <w:r w:rsidR="009D0133" w:rsidRPr="009D0133">
              <w:rPr>
                <w:rFonts w:ascii="Georgia" w:eastAsia="Times New Roman" w:hAnsi="Georgia" w:cs="Times New Roman"/>
                <w:iCs/>
                <w:color w:val="000000"/>
                <w:szCs w:val="26"/>
                <w:lang w:val="ro-RO"/>
              </w:rPr>
              <w:t>unor scrisori de accesiune prin</w:t>
            </w:r>
            <w:r w:rsidR="00A9493F" w:rsidRPr="001C0908">
              <w:rPr>
                <w:rFonts w:ascii="Georgia" w:eastAsia="Times New Roman" w:hAnsi="Georgia" w:cs="Times New Roman"/>
                <w:iCs/>
                <w:color w:val="000000"/>
                <w:szCs w:val="26"/>
                <w:lang w:val="ro-RO"/>
              </w:rPr>
              <w:t xml:space="preserve"> care Creditorii vor accede la Contractul intre C</w:t>
            </w:r>
            <w:r w:rsidR="009D0133" w:rsidRPr="009D0133">
              <w:rPr>
                <w:rFonts w:ascii="Georgia" w:eastAsia="Times New Roman" w:hAnsi="Georgia" w:cs="Times New Roman"/>
                <w:iCs/>
                <w:color w:val="000000"/>
                <w:szCs w:val="26"/>
                <w:lang w:val="ro-RO"/>
              </w:rPr>
              <w:t>reditori, astfel cum acesta a fost amendat si confirmat prin actul aditional la Contractul intre Creditori din data de 9 ianuarie 2018 („</w:t>
            </w:r>
            <w:r w:rsidR="009D0133" w:rsidRPr="009D0133">
              <w:rPr>
                <w:rFonts w:ascii="Georgia" w:eastAsia="Times New Roman" w:hAnsi="Georgia" w:cs="Times New Roman"/>
                <w:b/>
                <w:iCs/>
                <w:color w:val="000000"/>
                <w:szCs w:val="26"/>
                <w:lang w:val="ro-RO"/>
              </w:rPr>
              <w:t>Scrisorile de Accesiune la Contractul intre Creditori</w:t>
            </w:r>
            <w:r w:rsidR="009D0133" w:rsidRPr="009D0133">
              <w:rPr>
                <w:rFonts w:ascii="Georgia" w:eastAsia="Times New Roman" w:hAnsi="Georgia" w:cs="Times New Roman"/>
                <w:iCs/>
                <w:color w:val="000000"/>
                <w:szCs w:val="26"/>
                <w:lang w:val="ro-RO"/>
              </w:rPr>
              <w:t>”);</w:t>
            </w:r>
          </w:p>
        </w:tc>
        <w:tc>
          <w:tcPr>
            <w:tcW w:w="4675" w:type="dxa"/>
            <w:tcBorders>
              <w:top w:val="nil"/>
              <w:left w:val="nil"/>
              <w:bottom w:val="nil"/>
              <w:right w:val="nil"/>
            </w:tcBorders>
          </w:tcPr>
          <w:p w:rsidR="00FF7B1E" w:rsidRPr="001C0908" w:rsidRDefault="00114191" w:rsidP="00FF7B1E">
            <w:pPr>
              <w:keepNext/>
              <w:keepLines/>
              <w:widowControl w:val="0"/>
              <w:spacing w:after="200" w:line="320" w:lineRule="exact"/>
              <w:ind w:right="26"/>
              <w:jc w:val="both"/>
              <w:rPr>
                <w:rFonts w:ascii="Georgia" w:eastAsia="Times New Roman" w:hAnsi="Georgia" w:cs="Times New Roman"/>
                <w:iCs/>
                <w:color w:val="000000"/>
                <w:szCs w:val="26"/>
                <w:lang w:val="en-GB"/>
              </w:rPr>
            </w:pPr>
            <w:r w:rsidRPr="001C0908">
              <w:rPr>
                <w:rFonts w:ascii="Georgia" w:eastAsia="Times New Roman" w:hAnsi="Georgia" w:cs="Times New Roman"/>
                <w:iCs/>
                <w:color w:val="000000"/>
                <w:szCs w:val="26"/>
                <w:lang w:val="en-GB"/>
              </w:rPr>
              <w:t>The entering into the Revolving Credit Facility Agreements</w:t>
            </w:r>
            <w:r w:rsidR="00FF7B1E" w:rsidRPr="001C0908">
              <w:rPr>
                <w:rFonts w:ascii="Georgia" w:eastAsia="Times New Roman" w:hAnsi="Georgia" w:cs="Times New Roman"/>
                <w:iCs/>
                <w:color w:val="000000"/>
                <w:szCs w:val="26"/>
                <w:lang w:val="en-GB"/>
              </w:rPr>
              <w:t xml:space="preserve"> shall determine the conclusion of the following:</w:t>
            </w:r>
          </w:p>
          <w:p w:rsidR="00FF7B1E" w:rsidRPr="001C0908" w:rsidRDefault="00FF7B1E" w:rsidP="00FF7B1E">
            <w:pPr>
              <w:keepNext/>
              <w:keepLines/>
              <w:widowControl w:val="0"/>
              <w:spacing w:after="200" w:line="320" w:lineRule="exact"/>
              <w:ind w:right="26"/>
              <w:jc w:val="both"/>
              <w:rPr>
                <w:rFonts w:ascii="Georgia" w:eastAsia="Times New Roman" w:hAnsi="Georgia" w:cs="Times New Roman"/>
                <w:iCs/>
                <w:color w:val="000000"/>
                <w:szCs w:val="26"/>
                <w:lang w:val="en-GB"/>
              </w:rPr>
            </w:pPr>
            <w:r w:rsidRPr="001C0908">
              <w:rPr>
                <w:rFonts w:ascii="Georgia" w:eastAsia="Times New Roman" w:hAnsi="Georgia" w:cs="Times New Roman"/>
                <w:iCs/>
                <w:color w:val="000000"/>
                <w:szCs w:val="26"/>
                <w:lang w:val="en-GB"/>
              </w:rPr>
              <w:t xml:space="preserve">1. </w:t>
            </w:r>
            <w:r w:rsidR="001F106B" w:rsidRPr="001C0908">
              <w:rPr>
                <w:rFonts w:ascii="Georgia" w:eastAsia="Times New Roman" w:hAnsi="Georgia" w:cs="Times New Roman"/>
                <w:iCs/>
                <w:color w:val="000000"/>
                <w:szCs w:val="26"/>
                <w:lang w:val="en-GB"/>
              </w:rPr>
              <w:t xml:space="preserve">certain </w:t>
            </w:r>
            <w:r w:rsidRPr="001C0908">
              <w:rPr>
                <w:rFonts w:ascii="Georgia" w:eastAsia="Times New Roman" w:hAnsi="Georgia" w:cs="Times New Roman"/>
                <w:iCs/>
                <w:color w:val="000000"/>
                <w:szCs w:val="26"/>
                <w:lang w:val="en-GB"/>
              </w:rPr>
              <w:t xml:space="preserve">accession </w:t>
            </w:r>
            <w:r w:rsidR="001F106B" w:rsidRPr="001C0908">
              <w:rPr>
                <w:rFonts w:ascii="Georgia" w:eastAsia="Times New Roman" w:hAnsi="Georgia" w:cs="Times New Roman"/>
                <w:iCs/>
                <w:color w:val="000000"/>
                <w:szCs w:val="26"/>
                <w:lang w:val="en-GB"/>
              </w:rPr>
              <w:t xml:space="preserve">letters </w:t>
            </w:r>
            <w:r w:rsidRPr="001C0908">
              <w:rPr>
                <w:rFonts w:ascii="Georgia" w:eastAsia="Times New Roman" w:hAnsi="Georgia" w:cs="Times New Roman"/>
                <w:iCs/>
                <w:color w:val="000000"/>
                <w:szCs w:val="26"/>
                <w:lang w:val="en-GB"/>
              </w:rPr>
              <w:t xml:space="preserve">by which the Creditors will accede to the </w:t>
            </w:r>
            <w:r w:rsidR="001F106B" w:rsidRPr="001C0908">
              <w:rPr>
                <w:rFonts w:ascii="Georgia" w:eastAsia="Times New Roman" w:hAnsi="Georgia" w:cs="Times New Roman"/>
                <w:iCs/>
                <w:color w:val="000000"/>
                <w:szCs w:val="26"/>
                <w:lang w:val="en-GB"/>
              </w:rPr>
              <w:t>Intercreditor Agreement</w:t>
            </w:r>
            <w:r w:rsidRPr="001C0908">
              <w:rPr>
                <w:rFonts w:ascii="Georgia" w:eastAsia="Times New Roman" w:hAnsi="Georgia" w:cs="Times New Roman"/>
                <w:iCs/>
                <w:color w:val="000000"/>
                <w:szCs w:val="26"/>
                <w:lang w:val="en-GB"/>
              </w:rPr>
              <w:t xml:space="preserve">, as amended and confirmed by the addendum to the </w:t>
            </w:r>
            <w:r w:rsidR="001F106B" w:rsidRPr="001C0908">
              <w:rPr>
                <w:rFonts w:ascii="Georgia" w:eastAsia="Times New Roman" w:hAnsi="Georgia" w:cs="Times New Roman"/>
                <w:iCs/>
                <w:color w:val="000000"/>
                <w:szCs w:val="26"/>
                <w:lang w:val="en-GB"/>
              </w:rPr>
              <w:t xml:space="preserve">Intercreditor Agreement </w:t>
            </w:r>
            <w:r w:rsidRPr="001C0908">
              <w:rPr>
                <w:rFonts w:ascii="Georgia" w:eastAsia="Times New Roman" w:hAnsi="Georgia" w:cs="Times New Roman"/>
                <w:iCs/>
                <w:color w:val="000000"/>
                <w:szCs w:val="26"/>
                <w:lang w:val="en-GB"/>
              </w:rPr>
              <w:t>dated 9 January 2018 ("</w:t>
            </w:r>
            <w:r w:rsidR="001F106B" w:rsidRPr="001C0908">
              <w:rPr>
                <w:rFonts w:ascii="Georgia" w:eastAsia="Times New Roman" w:hAnsi="Georgia" w:cs="Times New Roman"/>
                <w:b/>
                <w:iCs/>
                <w:color w:val="000000"/>
                <w:szCs w:val="26"/>
                <w:lang w:val="en-GB"/>
              </w:rPr>
              <w:t xml:space="preserve">Intercreditor </w:t>
            </w:r>
            <w:r w:rsidRPr="001C0908">
              <w:rPr>
                <w:rFonts w:ascii="Georgia" w:eastAsia="Times New Roman" w:hAnsi="Georgia" w:cs="Times New Roman"/>
                <w:b/>
                <w:iCs/>
                <w:color w:val="000000"/>
                <w:szCs w:val="26"/>
                <w:lang w:val="en-GB"/>
              </w:rPr>
              <w:t>Access</w:t>
            </w:r>
            <w:r w:rsidR="001F106B" w:rsidRPr="001C0908">
              <w:rPr>
                <w:rFonts w:ascii="Georgia" w:eastAsia="Times New Roman" w:hAnsi="Georgia" w:cs="Times New Roman"/>
                <w:b/>
                <w:iCs/>
                <w:color w:val="000000"/>
                <w:szCs w:val="26"/>
                <w:lang w:val="en-GB"/>
              </w:rPr>
              <w:t>ion Letters</w:t>
            </w:r>
            <w:r w:rsidR="004B2D97" w:rsidRPr="001C0908">
              <w:rPr>
                <w:rFonts w:ascii="Georgia" w:eastAsia="Times New Roman" w:hAnsi="Georgia" w:cs="Times New Roman"/>
                <w:iCs/>
                <w:color w:val="000000"/>
                <w:szCs w:val="26"/>
                <w:lang w:val="en-GB"/>
              </w:rPr>
              <w:t>");</w:t>
            </w:r>
          </w:p>
        </w:tc>
      </w:tr>
      <w:tr w:rsidR="00595C0C" w:rsidRPr="001C0908" w:rsidTr="00D30714">
        <w:tc>
          <w:tcPr>
            <w:tcW w:w="4675" w:type="dxa"/>
            <w:tcBorders>
              <w:top w:val="nil"/>
              <w:left w:val="nil"/>
              <w:bottom w:val="nil"/>
              <w:right w:val="nil"/>
            </w:tcBorders>
          </w:tcPr>
          <w:p w:rsidR="00595C0C" w:rsidRPr="001C0908" w:rsidRDefault="009A263A" w:rsidP="00421528">
            <w:pPr>
              <w:keepNext/>
              <w:keepLines/>
              <w:widowControl w:val="0"/>
              <w:spacing w:after="200" w:line="320" w:lineRule="exact"/>
              <w:ind w:right="26"/>
              <w:jc w:val="both"/>
              <w:rPr>
                <w:rFonts w:ascii="Georgia" w:eastAsia="Times New Roman" w:hAnsi="Georgia" w:cs="Times New Roman"/>
                <w:iCs/>
                <w:color w:val="000000"/>
                <w:szCs w:val="26"/>
                <w:lang w:val="ro-RO"/>
              </w:rPr>
            </w:pPr>
            <w:r>
              <w:rPr>
                <w:rFonts w:ascii="Georgia" w:eastAsia="Times New Roman" w:hAnsi="Georgia" w:cs="Times New Roman"/>
                <w:iCs/>
                <w:color w:val="000000"/>
                <w:szCs w:val="26"/>
                <w:lang w:val="ro-RO"/>
              </w:rPr>
              <w:t>2</w:t>
            </w:r>
            <w:r w:rsidR="00595C0C" w:rsidRPr="001C0908">
              <w:rPr>
                <w:rFonts w:ascii="Georgia" w:eastAsia="Times New Roman" w:hAnsi="Georgia" w:cs="Times New Roman"/>
                <w:iCs/>
                <w:color w:val="000000"/>
                <w:szCs w:val="26"/>
                <w:lang w:val="ro-RO"/>
              </w:rPr>
              <w:t xml:space="preserve">. </w:t>
            </w:r>
            <w:r w:rsidR="00595C0C" w:rsidRPr="009D0133">
              <w:rPr>
                <w:rFonts w:ascii="Georgia" w:eastAsia="Times New Roman" w:hAnsi="Georgia" w:cs="Times New Roman"/>
                <w:iCs/>
                <w:color w:val="000000"/>
                <w:szCs w:val="26"/>
                <w:lang w:val="ro-RO"/>
              </w:rPr>
              <w:t>a unui act aditional nr. 5 la Contractul de Ipoteca pe Conturi din data d</w:t>
            </w:r>
            <w:r w:rsidR="00595C0C" w:rsidRPr="001C0908">
              <w:rPr>
                <w:rFonts w:ascii="Georgia" w:eastAsia="Times New Roman" w:hAnsi="Georgia" w:cs="Times New Roman"/>
                <w:iCs/>
                <w:color w:val="000000"/>
                <w:szCs w:val="26"/>
                <w:lang w:val="ro-RO"/>
              </w:rPr>
              <w:t>e 21 d</w:t>
            </w:r>
            <w:r w:rsidR="00595C0C" w:rsidRPr="009D0133">
              <w:rPr>
                <w:rFonts w:ascii="Georgia" w:eastAsia="Times New Roman" w:hAnsi="Georgia" w:cs="Times New Roman"/>
                <w:iCs/>
                <w:color w:val="000000"/>
                <w:szCs w:val="26"/>
                <w:lang w:val="ro-RO"/>
              </w:rPr>
              <w:t>ecembrie 2012 incheiat intre Societate, in calitate de debitor ipotecar, si Powszechna Kasa Oszczędności Bank Polski S.A., in calitate de creditor ipotecar</w:t>
            </w:r>
            <w:r w:rsidR="00B947FD" w:rsidRPr="001C0908">
              <w:rPr>
                <w:rFonts w:ascii="Georgia" w:eastAsia="Times New Roman" w:hAnsi="Georgia" w:cs="Times New Roman"/>
                <w:iCs/>
                <w:color w:val="000000"/>
                <w:szCs w:val="26"/>
                <w:lang w:val="ro-RO"/>
              </w:rPr>
              <w:t>,</w:t>
            </w:r>
            <w:r w:rsidR="00595C0C" w:rsidRPr="009D0133">
              <w:rPr>
                <w:rFonts w:ascii="Georgia" w:eastAsia="Times New Roman" w:hAnsi="Georgia" w:cs="Times New Roman"/>
                <w:iCs/>
                <w:color w:val="000000"/>
                <w:szCs w:val="26"/>
                <w:lang w:val="ro-RO"/>
              </w:rPr>
              <w:t xml:space="preserve"> astfel cum acesta a fost amendat si confirmat prin orice acte aditionale ulterioare</w:t>
            </w:r>
            <w:r w:rsidR="00421528" w:rsidRPr="001C0908">
              <w:rPr>
                <w:rFonts w:ascii="Georgia" w:eastAsia="Times New Roman" w:hAnsi="Georgia" w:cs="Times New Roman"/>
                <w:iCs/>
                <w:color w:val="000000"/>
                <w:szCs w:val="26"/>
                <w:lang w:val="ro-RO"/>
              </w:rPr>
              <w:t xml:space="preserve"> </w:t>
            </w:r>
            <w:r w:rsidR="00421528" w:rsidRPr="001C0908">
              <w:rPr>
                <w:rFonts w:ascii="Georgia" w:hAnsi="Georgia"/>
                <w:lang w:val="ro-RO"/>
              </w:rPr>
              <w:t>(„</w:t>
            </w:r>
            <w:r w:rsidR="00421528" w:rsidRPr="001C0908">
              <w:rPr>
                <w:rFonts w:ascii="Georgia" w:hAnsi="Georgia"/>
                <w:b/>
                <w:lang w:val="ro-RO"/>
              </w:rPr>
              <w:t>Actul Aditional la Contractul de Ipoteca pe Conturi</w:t>
            </w:r>
            <w:r w:rsidR="00421528" w:rsidRPr="001C0908">
              <w:rPr>
                <w:rFonts w:ascii="Georgia" w:hAnsi="Georgia"/>
                <w:lang w:val="ro-RO"/>
              </w:rPr>
              <w:t>”)</w:t>
            </w:r>
            <w:r w:rsidR="00595C0C" w:rsidRPr="009D0133">
              <w:rPr>
                <w:rFonts w:ascii="Georgia" w:eastAsia="Times New Roman" w:hAnsi="Georgia" w:cs="Times New Roman"/>
                <w:iCs/>
                <w:color w:val="000000"/>
                <w:szCs w:val="26"/>
                <w:lang w:val="ro-RO"/>
              </w:rPr>
              <w:t>;</w:t>
            </w:r>
          </w:p>
        </w:tc>
        <w:tc>
          <w:tcPr>
            <w:tcW w:w="4675" w:type="dxa"/>
            <w:tcBorders>
              <w:top w:val="nil"/>
              <w:left w:val="nil"/>
              <w:bottom w:val="nil"/>
              <w:right w:val="nil"/>
            </w:tcBorders>
          </w:tcPr>
          <w:p w:rsidR="00595C0C" w:rsidRPr="001C0908" w:rsidRDefault="009A263A" w:rsidP="00E45889">
            <w:pPr>
              <w:keepNext/>
              <w:keepLines/>
              <w:widowControl w:val="0"/>
              <w:spacing w:after="200" w:line="320" w:lineRule="exact"/>
              <w:ind w:right="26"/>
              <w:jc w:val="both"/>
              <w:rPr>
                <w:rFonts w:ascii="Georgia" w:eastAsia="Times New Roman" w:hAnsi="Georgia" w:cs="Times New Roman"/>
                <w:iCs/>
                <w:color w:val="000000"/>
                <w:szCs w:val="26"/>
                <w:lang w:val="en-GB"/>
              </w:rPr>
            </w:pPr>
            <w:r>
              <w:rPr>
                <w:rFonts w:ascii="Georgia" w:eastAsia="Times New Roman" w:hAnsi="Georgia" w:cs="Times New Roman"/>
                <w:iCs/>
                <w:color w:val="000000"/>
                <w:szCs w:val="26"/>
                <w:lang w:val="en-GB"/>
              </w:rPr>
              <w:t>2</w:t>
            </w:r>
            <w:r w:rsidR="00595C0C" w:rsidRPr="001C0908">
              <w:rPr>
                <w:rFonts w:ascii="Georgia" w:eastAsia="Times New Roman" w:hAnsi="Georgia" w:cs="Times New Roman"/>
                <w:iCs/>
                <w:color w:val="000000"/>
                <w:szCs w:val="26"/>
                <w:lang w:val="en-GB"/>
              </w:rPr>
              <w:t>. an addendum no. 5 to the Account</w:t>
            </w:r>
            <w:r w:rsidR="00A63BCF" w:rsidRPr="001C0908">
              <w:rPr>
                <w:rFonts w:ascii="Georgia" w:eastAsia="Times New Roman" w:hAnsi="Georgia" w:cs="Times New Roman"/>
                <w:iCs/>
                <w:color w:val="000000"/>
                <w:szCs w:val="26"/>
                <w:lang w:val="en-GB"/>
              </w:rPr>
              <w:t>s</w:t>
            </w:r>
            <w:r w:rsidR="00595C0C" w:rsidRPr="001C0908">
              <w:rPr>
                <w:rFonts w:ascii="Georgia" w:eastAsia="Times New Roman" w:hAnsi="Georgia" w:cs="Times New Roman"/>
                <w:iCs/>
                <w:color w:val="000000"/>
                <w:szCs w:val="26"/>
                <w:lang w:val="en-GB"/>
              </w:rPr>
              <w:t xml:space="preserve"> </w:t>
            </w:r>
            <w:r w:rsidR="00A63BCF" w:rsidRPr="001C0908">
              <w:rPr>
                <w:rFonts w:ascii="Georgia" w:eastAsia="Times New Roman" w:hAnsi="Georgia" w:cs="Times New Roman"/>
                <w:iCs/>
                <w:color w:val="000000"/>
                <w:szCs w:val="26"/>
                <w:lang w:val="en-GB"/>
              </w:rPr>
              <w:t xml:space="preserve">Mortgage </w:t>
            </w:r>
            <w:r w:rsidR="00B947FD" w:rsidRPr="001C0908">
              <w:rPr>
                <w:rFonts w:ascii="Georgia" w:eastAsia="Times New Roman" w:hAnsi="Georgia" w:cs="Times New Roman"/>
                <w:iCs/>
                <w:color w:val="000000"/>
                <w:szCs w:val="26"/>
                <w:lang w:val="en-GB"/>
              </w:rPr>
              <w:t>Agreement</w:t>
            </w:r>
            <w:r w:rsidR="008233CA">
              <w:rPr>
                <w:rFonts w:ascii="Georgia" w:eastAsia="Times New Roman" w:hAnsi="Georgia" w:cs="Times New Roman"/>
                <w:iCs/>
                <w:color w:val="000000"/>
                <w:szCs w:val="26"/>
                <w:lang w:val="en-GB"/>
              </w:rPr>
              <w:t xml:space="preserve"> dated 21 December</w:t>
            </w:r>
            <w:r w:rsidR="00595C0C" w:rsidRPr="001C0908">
              <w:rPr>
                <w:rFonts w:ascii="Georgia" w:eastAsia="Times New Roman" w:hAnsi="Georgia" w:cs="Times New Roman"/>
                <w:iCs/>
                <w:color w:val="000000"/>
                <w:szCs w:val="26"/>
                <w:lang w:val="en-GB"/>
              </w:rPr>
              <w:t xml:space="preserve"> 2012 </w:t>
            </w:r>
            <w:r w:rsidR="008233CA">
              <w:rPr>
                <w:rFonts w:ascii="Georgia" w:eastAsia="Times New Roman" w:hAnsi="Georgia" w:cs="Times New Roman"/>
                <w:iCs/>
                <w:color w:val="000000"/>
                <w:szCs w:val="26"/>
                <w:lang w:val="en-GB"/>
              </w:rPr>
              <w:t xml:space="preserve">concluded </w:t>
            </w:r>
            <w:r w:rsidR="00595C0C" w:rsidRPr="001C0908">
              <w:rPr>
                <w:rFonts w:ascii="Georgia" w:eastAsia="Times New Roman" w:hAnsi="Georgia" w:cs="Times New Roman"/>
                <w:iCs/>
                <w:color w:val="000000"/>
                <w:szCs w:val="26"/>
                <w:lang w:val="en-GB"/>
              </w:rPr>
              <w:t>between the Company</w:t>
            </w:r>
            <w:r w:rsidR="008233CA">
              <w:rPr>
                <w:rFonts w:ascii="Georgia" w:eastAsia="Times New Roman" w:hAnsi="Georgia" w:cs="Times New Roman"/>
                <w:iCs/>
                <w:color w:val="000000"/>
                <w:szCs w:val="26"/>
                <w:lang w:val="en-GB"/>
              </w:rPr>
              <w:t>, as a mortgagor</w:t>
            </w:r>
            <w:r w:rsidR="00595C0C" w:rsidRPr="001C0908">
              <w:rPr>
                <w:rFonts w:ascii="Georgia" w:eastAsia="Times New Roman" w:hAnsi="Georgia" w:cs="Times New Roman"/>
                <w:iCs/>
                <w:color w:val="000000"/>
                <w:szCs w:val="26"/>
                <w:lang w:val="en-GB"/>
              </w:rPr>
              <w:t xml:space="preserve"> and </w:t>
            </w:r>
            <w:proofErr w:type="spellStart"/>
            <w:r w:rsidR="00595C0C" w:rsidRPr="001C0908">
              <w:rPr>
                <w:rFonts w:ascii="Georgia" w:eastAsia="Times New Roman" w:hAnsi="Georgia" w:cs="Times New Roman"/>
                <w:iCs/>
                <w:color w:val="000000"/>
                <w:szCs w:val="26"/>
                <w:lang w:val="en-GB"/>
              </w:rPr>
              <w:t>Powszechna</w:t>
            </w:r>
            <w:proofErr w:type="spellEnd"/>
            <w:r w:rsidR="00595C0C" w:rsidRPr="001C0908">
              <w:rPr>
                <w:rFonts w:ascii="Georgia" w:eastAsia="Times New Roman" w:hAnsi="Georgia" w:cs="Times New Roman"/>
                <w:iCs/>
                <w:color w:val="000000"/>
                <w:szCs w:val="26"/>
                <w:lang w:val="en-GB"/>
              </w:rPr>
              <w:t xml:space="preserve"> </w:t>
            </w:r>
            <w:proofErr w:type="spellStart"/>
            <w:r w:rsidR="00595C0C" w:rsidRPr="001C0908">
              <w:rPr>
                <w:rFonts w:ascii="Georgia" w:eastAsia="Times New Roman" w:hAnsi="Georgia" w:cs="Times New Roman"/>
                <w:iCs/>
                <w:color w:val="000000"/>
                <w:szCs w:val="26"/>
                <w:lang w:val="en-GB"/>
              </w:rPr>
              <w:t>Kasa</w:t>
            </w:r>
            <w:proofErr w:type="spellEnd"/>
            <w:r w:rsidR="00595C0C" w:rsidRPr="001C0908">
              <w:rPr>
                <w:rFonts w:ascii="Georgia" w:eastAsia="Times New Roman" w:hAnsi="Georgia" w:cs="Times New Roman"/>
                <w:iCs/>
                <w:color w:val="000000"/>
                <w:szCs w:val="26"/>
                <w:lang w:val="en-GB"/>
              </w:rPr>
              <w:t xml:space="preserve"> </w:t>
            </w:r>
            <w:proofErr w:type="spellStart"/>
            <w:r w:rsidR="00595C0C" w:rsidRPr="001C0908">
              <w:rPr>
                <w:rFonts w:ascii="Georgia" w:eastAsia="Times New Roman" w:hAnsi="Georgia" w:cs="Times New Roman"/>
                <w:iCs/>
                <w:color w:val="000000"/>
                <w:szCs w:val="26"/>
                <w:lang w:val="en-GB"/>
              </w:rPr>
              <w:t>Oszczędności</w:t>
            </w:r>
            <w:proofErr w:type="spellEnd"/>
            <w:r w:rsidR="00595C0C" w:rsidRPr="001C0908">
              <w:rPr>
                <w:rFonts w:ascii="Georgia" w:eastAsia="Times New Roman" w:hAnsi="Georgia" w:cs="Times New Roman"/>
                <w:iCs/>
                <w:color w:val="000000"/>
                <w:szCs w:val="26"/>
                <w:lang w:val="en-GB"/>
              </w:rPr>
              <w:t xml:space="preserve"> Bank </w:t>
            </w:r>
            <w:proofErr w:type="spellStart"/>
            <w:r w:rsidR="00595C0C" w:rsidRPr="001C0908">
              <w:rPr>
                <w:rFonts w:ascii="Georgia" w:eastAsia="Times New Roman" w:hAnsi="Georgia" w:cs="Times New Roman"/>
                <w:iCs/>
                <w:color w:val="000000"/>
                <w:szCs w:val="26"/>
                <w:lang w:val="en-GB"/>
              </w:rPr>
              <w:t>Polski</w:t>
            </w:r>
            <w:proofErr w:type="spellEnd"/>
            <w:r w:rsidR="00595C0C" w:rsidRPr="001C0908">
              <w:rPr>
                <w:rFonts w:ascii="Georgia" w:eastAsia="Times New Roman" w:hAnsi="Georgia" w:cs="Times New Roman"/>
                <w:iCs/>
                <w:color w:val="000000"/>
                <w:szCs w:val="26"/>
                <w:lang w:val="en-GB"/>
              </w:rPr>
              <w:t xml:space="preserve"> S.A., as a mortgagee</w:t>
            </w:r>
            <w:r w:rsidR="00B947FD" w:rsidRPr="001C0908">
              <w:rPr>
                <w:rFonts w:ascii="Georgia" w:eastAsia="Times New Roman" w:hAnsi="Georgia" w:cs="Times New Roman"/>
                <w:iCs/>
                <w:color w:val="000000"/>
                <w:szCs w:val="26"/>
                <w:lang w:val="en-GB"/>
              </w:rPr>
              <w:t>,</w:t>
            </w:r>
            <w:r w:rsidR="00595C0C" w:rsidRPr="001C0908">
              <w:rPr>
                <w:rFonts w:ascii="Georgia" w:eastAsia="Times New Roman" w:hAnsi="Georgia" w:cs="Times New Roman"/>
                <w:iCs/>
                <w:color w:val="000000"/>
                <w:szCs w:val="26"/>
                <w:lang w:val="en-GB"/>
              </w:rPr>
              <w:t xml:space="preserve"> as amended and confirmed by any subsequent addend</w:t>
            </w:r>
            <w:r w:rsidR="00E45889" w:rsidRPr="001C0908">
              <w:rPr>
                <w:rFonts w:ascii="Georgia" w:eastAsia="Times New Roman" w:hAnsi="Georgia" w:cs="Times New Roman"/>
                <w:iCs/>
                <w:color w:val="000000"/>
                <w:szCs w:val="26"/>
                <w:lang w:val="en-GB"/>
              </w:rPr>
              <w:t>a</w:t>
            </w:r>
            <w:r w:rsidR="00A63BCF" w:rsidRPr="001C0908">
              <w:rPr>
                <w:rFonts w:ascii="Georgia" w:eastAsia="Times New Roman" w:hAnsi="Georgia" w:cs="Times New Roman"/>
                <w:iCs/>
                <w:color w:val="000000"/>
                <w:szCs w:val="26"/>
                <w:lang w:val="en-GB"/>
              </w:rPr>
              <w:t xml:space="preserve"> (the „</w:t>
            </w:r>
            <w:r w:rsidR="00A63BCF" w:rsidRPr="001C0908">
              <w:rPr>
                <w:rFonts w:ascii="Georgia" w:hAnsi="Georgia"/>
                <w:b/>
                <w:bCs/>
                <w:color w:val="000000"/>
                <w:lang w:val="en-GB"/>
              </w:rPr>
              <w:t>Addendum to the Accounts Mortgage Agreement</w:t>
            </w:r>
            <w:r w:rsidR="00A63BCF" w:rsidRPr="001C0908">
              <w:rPr>
                <w:rFonts w:ascii="Georgia" w:hAnsi="Georgia"/>
                <w:bCs/>
                <w:color w:val="000000"/>
                <w:lang w:val="en-GB"/>
              </w:rPr>
              <w:t>”)</w:t>
            </w:r>
            <w:r w:rsidR="00B947FD" w:rsidRPr="001C0908">
              <w:rPr>
                <w:rFonts w:ascii="Georgia" w:eastAsia="Times New Roman" w:hAnsi="Georgia" w:cs="Times New Roman"/>
                <w:iCs/>
                <w:color w:val="000000"/>
                <w:szCs w:val="26"/>
                <w:lang w:val="en-GB"/>
              </w:rPr>
              <w:t>;</w:t>
            </w:r>
          </w:p>
        </w:tc>
      </w:tr>
      <w:tr w:rsidR="00595C0C" w:rsidRPr="001C0908" w:rsidTr="00D30714">
        <w:tc>
          <w:tcPr>
            <w:tcW w:w="4675" w:type="dxa"/>
            <w:tcBorders>
              <w:top w:val="nil"/>
              <w:left w:val="nil"/>
              <w:bottom w:val="nil"/>
              <w:right w:val="nil"/>
            </w:tcBorders>
          </w:tcPr>
          <w:p w:rsidR="00595C0C" w:rsidRPr="001C0908" w:rsidRDefault="009A263A" w:rsidP="009D0133">
            <w:pPr>
              <w:keepNext/>
              <w:keepLines/>
              <w:widowControl w:val="0"/>
              <w:spacing w:after="200" w:line="320" w:lineRule="exact"/>
              <w:ind w:right="26"/>
              <w:jc w:val="both"/>
              <w:rPr>
                <w:rFonts w:ascii="Georgia" w:eastAsia="Times New Roman" w:hAnsi="Georgia" w:cs="Times New Roman"/>
                <w:iCs/>
                <w:color w:val="000000"/>
                <w:szCs w:val="26"/>
                <w:lang w:val="ro-RO"/>
              </w:rPr>
            </w:pPr>
            <w:r>
              <w:rPr>
                <w:rFonts w:ascii="Georgia" w:eastAsia="Times New Roman" w:hAnsi="Georgia" w:cs="Times New Roman"/>
                <w:iCs/>
                <w:color w:val="000000"/>
                <w:szCs w:val="26"/>
                <w:lang w:val="ro-RO"/>
              </w:rPr>
              <w:t>3</w:t>
            </w:r>
            <w:r w:rsidR="00595C0C" w:rsidRPr="001C0908">
              <w:rPr>
                <w:rFonts w:ascii="Georgia" w:eastAsia="Times New Roman" w:hAnsi="Georgia" w:cs="Times New Roman"/>
                <w:iCs/>
                <w:color w:val="000000"/>
                <w:szCs w:val="26"/>
                <w:lang w:val="ro-RO"/>
              </w:rPr>
              <w:t xml:space="preserve">. </w:t>
            </w:r>
            <w:r w:rsidR="00595C0C" w:rsidRPr="009D0133">
              <w:rPr>
                <w:rFonts w:ascii="Georgia" w:eastAsia="Times New Roman" w:hAnsi="Georgia" w:cs="Times New Roman"/>
                <w:iCs/>
                <w:color w:val="000000"/>
                <w:szCs w:val="26"/>
                <w:lang w:val="ro-RO"/>
              </w:rPr>
              <w:t xml:space="preserve">a unui act aditional nr. 2 la Contractul de </w:t>
            </w:r>
            <w:r w:rsidR="00595C0C" w:rsidRPr="009D0133">
              <w:rPr>
                <w:rFonts w:ascii="Georgia" w:eastAsia="Times New Roman" w:hAnsi="Georgia" w:cs="Times New Roman"/>
                <w:iCs/>
                <w:color w:val="000000"/>
                <w:szCs w:val="26"/>
                <w:lang w:val="ro-RO"/>
              </w:rPr>
              <w:lastRenderedPageBreak/>
              <w:t xml:space="preserve">Ipoteca pe Actiuni incheiat in 26 februarie 2016 intre </w:t>
            </w:r>
            <w:r w:rsidR="009B72AC" w:rsidRPr="001C0908">
              <w:rPr>
                <w:rFonts w:ascii="Georgia" w:eastAsia="Times New Roman" w:hAnsi="Georgia" w:cs="Times New Roman"/>
                <w:iCs/>
                <w:color w:val="000000"/>
                <w:szCs w:val="26"/>
                <w:lang w:val="ro-RO"/>
              </w:rPr>
              <w:t xml:space="preserve">Societate, </w:t>
            </w:r>
            <w:r w:rsidR="00595C0C" w:rsidRPr="009D0133">
              <w:rPr>
                <w:rFonts w:ascii="Georgia" w:eastAsia="Times New Roman" w:hAnsi="Georgia" w:cs="Times New Roman"/>
                <w:iCs/>
                <w:color w:val="000000"/>
                <w:szCs w:val="26"/>
                <w:lang w:val="ro-RO"/>
              </w:rPr>
              <w:t>Ciech S.A., in calitate de debitor ipotecar, si Powszechna Kasa Oszczędności Bank Polski in calitate de creditor ipotecar</w:t>
            </w:r>
            <w:r w:rsidR="00E45889" w:rsidRPr="001C0908">
              <w:rPr>
                <w:rFonts w:ascii="Georgia" w:eastAsia="Times New Roman" w:hAnsi="Georgia" w:cs="Times New Roman"/>
                <w:iCs/>
                <w:color w:val="000000"/>
                <w:szCs w:val="26"/>
                <w:lang w:val="ro-RO"/>
              </w:rPr>
              <w:t xml:space="preserve">, </w:t>
            </w:r>
            <w:r w:rsidR="00E45889" w:rsidRPr="009D0133">
              <w:rPr>
                <w:rFonts w:ascii="Georgia" w:eastAsia="Times New Roman" w:hAnsi="Georgia" w:cs="Times New Roman"/>
                <w:iCs/>
                <w:color w:val="000000"/>
                <w:szCs w:val="26"/>
                <w:lang w:val="ro-RO"/>
              </w:rPr>
              <w:t>astfel cum acesta a fost amendat si confirmat prin orice acte aditionale ulterioare</w:t>
            </w:r>
            <w:r w:rsidR="00E45889" w:rsidRPr="001C0908">
              <w:rPr>
                <w:rFonts w:ascii="Georgia" w:eastAsia="Times New Roman" w:hAnsi="Georgia" w:cs="Times New Roman"/>
                <w:iCs/>
                <w:color w:val="000000"/>
                <w:szCs w:val="26"/>
                <w:lang w:val="ro-RO"/>
              </w:rPr>
              <w:t xml:space="preserve"> </w:t>
            </w:r>
            <w:r w:rsidR="00421528" w:rsidRPr="001C0908">
              <w:rPr>
                <w:rFonts w:ascii="Georgia" w:eastAsia="Times New Roman" w:hAnsi="Georgia" w:cs="Times New Roman"/>
                <w:iCs/>
                <w:color w:val="000000"/>
                <w:szCs w:val="26"/>
                <w:lang w:val="ro-RO"/>
              </w:rPr>
              <w:t xml:space="preserve"> </w:t>
            </w:r>
            <w:r w:rsidR="00421528" w:rsidRPr="001C0908">
              <w:rPr>
                <w:rFonts w:ascii="Georgia" w:hAnsi="Georgia"/>
                <w:lang w:val="ro-RO"/>
              </w:rPr>
              <w:t>(„</w:t>
            </w:r>
            <w:r w:rsidR="00421528" w:rsidRPr="001C0908">
              <w:rPr>
                <w:rFonts w:ascii="Georgia" w:hAnsi="Georgia"/>
                <w:b/>
                <w:lang w:val="ro-RO"/>
              </w:rPr>
              <w:t>Actul Aditional la Contractul de Ipoteca pe Actiuni</w:t>
            </w:r>
            <w:r w:rsidR="00421528" w:rsidRPr="001C0908">
              <w:rPr>
                <w:rFonts w:ascii="Georgia" w:hAnsi="Georgia"/>
                <w:lang w:val="ro-RO"/>
              </w:rPr>
              <w:t>”)</w:t>
            </w:r>
            <w:r w:rsidR="00595C0C" w:rsidRPr="009D0133">
              <w:rPr>
                <w:rFonts w:ascii="Georgia" w:eastAsia="Times New Roman" w:hAnsi="Georgia" w:cs="Times New Roman"/>
                <w:iCs/>
                <w:color w:val="000000"/>
                <w:szCs w:val="26"/>
                <w:lang w:val="ro-RO"/>
              </w:rPr>
              <w:t>.</w:t>
            </w:r>
          </w:p>
        </w:tc>
        <w:tc>
          <w:tcPr>
            <w:tcW w:w="4675" w:type="dxa"/>
            <w:tcBorders>
              <w:top w:val="nil"/>
              <w:left w:val="nil"/>
              <w:bottom w:val="nil"/>
              <w:right w:val="nil"/>
            </w:tcBorders>
          </w:tcPr>
          <w:p w:rsidR="00595C0C" w:rsidRPr="001C0908" w:rsidRDefault="009A263A" w:rsidP="00E45889">
            <w:pPr>
              <w:keepNext/>
              <w:keepLines/>
              <w:widowControl w:val="0"/>
              <w:spacing w:after="200" w:line="320" w:lineRule="exact"/>
              <w:ind w:right="26"/>
              <w:jc w:val="both"/>
              <w:rPr>
                <w:rFonts w:ascii="Georgia" w:eastAsia="Times New Roman" w:hAnsi="Georgia" w:cs="Times New Roman"/>
                <w:iCs/>
                <w:color w:val="000000"/>
                <w:szCs w:val="26"/>
                <w:lang w:val="en-GB"/>
              </w:rPr>
            </w:pPr>
            <w:r>
              <w:rPr>
                <w:rFonts w:ascii="Georgia" w:eastAsia="Times New Roman" w:hAnsi="Georgia" w:cs="Times New Roman"/>
                <w:iCs/>
                <w:color w:val="000000"/>
                <w:szCs w:val="26"/>
                <w:lang w:val="en-GB"/>
              </w:rPr>
              <w:lastRenderedPageBreak/>
              <w:t>3</w:t>
            </w:r>
            <w:r w:rsidR="004B2D97" w:rsidRPr="001C0908">
              <w:rPr>
                <w:rFonts w:ascii="Georgia" w:eastAsia="Times New Roman" w:hAnsi="Georgia" w:cs="Times New Roman"/>
                <w:iCs/>
                <w:color w:val="000000"/>
                <w:szCs w:val="26"/>
                <w:lang w:val="en-GB"/>
              </w:rPr>
              <w:t xml:space="preserve">. </w:t>
            </w:r>
            <w:proofErr w:type="gramStart"/>
            <w:r w:rsidR="004B2D97" w:rsidRPr="001C0908">
              <w:rPr>
                <w:rFonts w:ascii="Georgia" w:eastAsia="Times New Roman" w:hAnsi="Georgia" w:cs="Times New Roman"/>
                <w:iCs/>
                <w:color w:val="000000"/>
                <w:szCs w:val="26"/>
                <w:lang w:val="en-GB"/>
              </w:rPr>
              <w:t>an</w:t>
            </w:r>
            <w:proofErr w:type="gramEnd"/>
            <w:r w:rsidR="004B2D97" w:rsidRPr="001C0908">
              <w:rPr>
                <w:rFonts w:ascii="Georgia" w:eastAsia="Times New Roman" w:hAnsi="Georgia" w:cs="Times New Roman"/>
                <w:iCs/>
                <w:color w:val="000000"/>
                <w:szCs w:val="26"/>
                <w:lang w:val="en-GB"/>
              </w:rPr>
              <w:t xml:space="preserve"> addendum no. 2 to the Share </w:t>
            </w:r>
            <w:r w:rsidR="009B72AC" w:rsidRPr="001C0908">
              <w:rPr>
                <w:rFonts w:ascii="Georgia" w:eastAsia="Times New Roman" w:hAnsi="Georgia" w:cs="Times New Roman"/>
                <w:iCs/>
                <w:color w:val="000000"/>
                <w:szCs w:val="26"/>
                <w:lang w:val="en-GB"/>
              </w:rPr>
              <w:t xml:space="preserve">Mortgage </w:t>
            </w:r>
            <w:r w:rsidR="004B2D97" w:rsidRPr="001C0908">
              <w:rPr>
                <w:rFonts w:ascii="Georgia" w:eastAsia="Times New Roman" w:hAnsi="Georgia" w:cs="Times New Roman"/>
                <w:iCs/>
                <w:color w:val="000000"/>
                <w:szCs w:val="26"/>
                <w:lang w:val="en-GB"/>
              </w:rPr>
              <w:lastRenderedPageBreak/>
              <w:t xml:space="preserve">Agreement concluded on 26 February 2016 between </w:t>
            </w:r>
            <w:r w:rsidR="009B72AC" w:rsidRPr="001C0908">
              <w:rPr>
                <w:rFonts w:ascii="Georgia" w:eastAsia="Times New Roman" w:hAnsi="Georgia" w:cs="Times New Roman"/>
                <w:iCs/>
                <w:color w:val="000000"/>
                <w:szCs w:val="26"/>
                <w:lang w:val="en-GB"/>
              </w:rPr>
              <w:t xml:space="preserve">the Company, </w:t>
            </w:r>
            <w:proofErr w:type="spellStart"/>
            <w:r w:rsidR="008233CA">
              <w:rPr>
                <w:rFonts w:ascii="Georgia" w:eastAsia="Times New Roman" w:hAnsi="Georgia" w:cs="Times New Roman"/>
                <w:iCs/>
                <w:color w:val="000000"/>
                <w:szCs w:val="26"/>
                <w:lang w:val="en-GB"/>
              </w:rPr>
              <w:t>Ciech</w:t>
            </w:r>
            <w:proofErr w:type="spellEnd"/>
            <w:r w:rsidR="008233CA">
              <w:rPr>
                <w:rFonts w:ascii="Georgia" w:eastAsia="Times New Roman" w:hAnsi="Georgia" w:cs="Times New Roman"/>
                <w:iCs/>
                <w:color w:val="000000"/>
                <w:szCs w:val="26"/>
                <w:lang w:val="en-GB"/>
              </w:rPr>
              <w:t xml:space="preserve"> S.A. as a mortgagor</w:t>
            </w:r>
            <w:r w:rsidR="004B2D97" w:rsidRPr="001C0908">
              <w:rPr>
                <w:rFonts w:ascii="Georgia" w:eastAsia="Times New Roman" w:hAnsi="Georgia" w:cs="Times New Roman"/>
                <w:iCs/>
                <w:color w:val="000000"/>
                <w:szCs w:val="26"/>
                <w:lang w:val="en-GB"/>
              </w:rPr>
              <w:t xml:space="preserve"> and </w:t>
            </w:r>
            <w:proofErr w:type="spellStart"/>
            <w:r w:rsidR="004B2D97" w:rsidRPr="001C0908">
              <w:rPr>
                <w:rFonts w:ascii="Georgia" w:eastAsia="Times New Roman" w:hAnsi="Georgia" w:cs="Times New Roman"/>
                <w:iCs/>
                <w:color w:val="000000"/>
                <w:szCs w:val="26"/>
                <w:lang w:val="en-GB"/>
              </w:rPr>
              <w:t>Powszechna</w:t>
            </w:r>
            <w:proofErr w:type="spellEnd"/>
            <w:r w:rsidR="004B2D97" w:rsidRPr="001C0908">
              <w:rPr>
                <w:rFonts w:ascii="Georgia" w:eastAsia="Times New Roman" w:hAnsi="Georgia" w:cs="Times New Roman"/>
                <w:iCs/>
                <w:color w:val="000000"/>
                <w:szCs w:val="26"/>
                <w:lang w:val="en-GB"/>
              </w:rPr>
              <w:t xml:space="preserve"> </w:t>
            </w:r>
            <w:proofErr w:type="spellStart"/>
            <w:r w:rsidR="004B2D97" w:rsidRPr="001C0908">
              <w:rPr>
                <w:rFonts w:ascii="Georgia" w:eastAsia="Times New Roman" w:hAnsi="Georgia" w:cs="Times New Roman"/>
                <w:iCs/>
                <w:color w:val="000000"/>
                <w:szCs w:val="26"/>
                <w:lang w:val="en-GB"/>
              </w:rPr>
              <w:t>Kasa</w:t>
            </w:r>
            <w:proofErr w:type="spellEnd"/>
            <w:r w:rsidR="004B2D97" w:rsidRPr="001C0908">
              <w:rPr>
                <w:rFonts w:ascii="Georgia" w:eastAsia="Times New Roman" w:hAnsi="Georgia" w:cs="Times New Roman"/>
                <w:iCs/>
                <w:color w:val="000000"/>
                <w:szCs w:val="26"/>
                <w:lang w:val="en-GB"/>
              </w:rPr>
              <w:t xml:space="preserve"> </w:t>
            </w:r>
            <w:proofErr w:type="spellStart"/>
            <w:r w:rsidR="004B2D97" w:rsidRPr="001C0908">
              <w:rPr>
                <w:rFonts w:ascii="Georgia" w:eastAsia="Times New Roman" w:hAnsi="Georgia" w:cs="Times New Roman"/>
                <w:iCs/>
                <w:color w:val="000000"/>
                <w:szCs w:val="26"/>
                <w:lang w:val="en-GB"/>
              </w:rPr>
              <w:t>Oszczędności</w:t>
            </w:r>
            <w:proofErr w:type="spellEnd"/>
            <w:r w:rsidR="004B2D97" w:rsidRPr="001C0908">
              <w:rPr>
                <w:rFonts w:ascii="Georgia" w:eastAsia="Times New Roman" w:hAnsi="Georgia" w:cs="Times New Roman"/>
                <w:iCs/>
                <w:color w:val="000000"/>
                <w:szCs w:val="26"/>
                <w:lang w:val="en-GB"/>
              </w:rPr>
              <w:t xml:space="preserve"> Bank </w:t>
            </w:r>
            <w:proofErr w:type="spellStart"/>
            <w:r w:rsidR="004B2D97" w:rsidRPr="001C0908">
              <w:rPr>
                <w:rFonts w:ascii="Georgia" w:eastAsia="Times New Roman" w:hAnsi="Georgia" w:cs="Times New Roman"/>
                <w:iCs/>
                <w:color w:val="000000"/>
                <w:szCs w:val="26"/>
                <w:lang w:val="en-GB"/>
              </w:rPr>
              <w:t>Polski</w:t>
            </w:r>
            <w:proofErr w:type="spellEnd"/>
            <w:r w:rsidR="004B2D97" w:rsidRPr="001C0908">
              <w:rPr>
                <w:rFonts w:ascii="Georgia" w:eastAsia="Times New Roman" w:hAnsi="Georgia" w:cs="Times New Roman"/>
                <w:iCs/>
                <w:color w:val="000000"/>
                <w:szCs w:val="26"/>
                <w:lang w:val="en-GB"/>
              </w:rPr>
              <w:t xml:space="preserve"> as a mortgagee</w:t>
            </w:r>
            <w:r w:rsidR="00564A83">
              <w:rPr>
                <w:rFonts w:ascii="Georgia" w:eastAsia="Times New Roman" w:hAnsi="Georgia" w:cs="Times New Roman"/>
                <w:iCs/>
                <w:color w:val="000000"/>
                <w:szCs w:val="26"/>
                <w:lang w:val="en-GB"/>
              </w:rPr>
              <w:t>,</w:t>
            </w:r>
            <w:r w:rsidR="00E45889" w:rsidRPr="001C0908">
              <w:rPr>
                <w:rFonts w:ascii="Georgia" w:eastAsia="Times New Roman" w:hAnsi="Georgia" w:cs="Times New Roman"/>
                <w:iCs/>
                <w:color w:val="000000"/>
                <w:szCs w:val="26"/>
                <w:lang w:val="en-GB"/>
              </w:rPr>
              <w:t xml:space="preserve"> as amended and confirmed by any subsequent addenda</w:t>
            </w:r>
            <w:r w:rsidR="00A63BCF" w:rsidRPr="001C0908">
              <w:rPr>
                <w:rFonts w:ascii="Georgia" w:eastAsia="Times New Roman" w:hAnsi="Georgia" w:cs="Times New Roman"/>
                <w:iCs/>
                <w:color w:val="000000"/>
                <w:szCs w:val="26"/>
                <w:lang w:val="en-GB"/>
              </w:rPr>
              <w:t xml:space="preserve"> (the „</w:t>
            </w:r>
            <w:r w:rsidR="00A63BCF" w:rsidRPr="001C0908">
              <w:rPr>
                <w:rFonts w:ascii="Georgia" w:hAnsi="Georgia"/>
                <w:b/>
                <w:bCs/>
                <w:color w:val="000000"/>
                <w:lang w:val="en-GB"/>
              </w:rPr>
              <w:t>Addendum to the Share Mortgage Agreement</w:t>
            </w:r>
            <w:r w:rsidR="00A63BCF" w:rsidRPr="001C0908">
              <w:rPr>
                <w:rFonts w:ascii="Georgia" w:hAnsi="Georgia"/>
                <w:bCs/>
                <w:color w:val="000000"/>
                <w:lang w:val="en-GB"/>
              </w:rPr>
              <w:t>”)</w:t>
            </w:r>
            <w:r w:rsidR="004B2D97" w:rsidRPr="001C0908">
              <w:rPr>
                <w:rFonts w:ascii="Georgia" w:eastAsia="Times New Roman" w:hAnsi="Georgia" w:cs="Times New Roman"/>
                <w:iCs/>
                <w:color w:val="000000"/>
                <w:szCs w:val="26"/>
                <w:lang w:val="en-GB"/>
              </w:rPr>
              <w:t>.</w:t>
            </w:r>
          </w:p>
        </w:tc>
      </w:tr>
    </w:tbl>
    <w:p w:rsidR="00A2785E" w:rsidRDefault="00A2785E"/>
    <w:sectPr w:rsidR="00A278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F89" w:rsidRDefault="00775F89" w:rsidP="00A2785E">
      <w:pPr>
        <w:spacing w:after="0" w:line="240" w:lineRule="auto"/>
      </w:pPr>
      <w:r>
        <w:separator/>
      </w:r>
    </w:p>
  </w:endnote>
  <w:endnote w:type="continuationSeparator" w:id="0">
    <w:p w:rsidR="00775F89" w:rsidRDefault="00775F89" w:rsidP="00A2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645693"/>
      <w:docPartObj>
        <w:docPartGallery w:val="Page Numbers (Bottom of Page)"/>
        <w:docPartUnique/>
      </w:docPartObj>
    </w:sdtPr>
    <w:sdtEndPr>
      <w:rPr>
        <w:rFonts w:ascii="Georgia" w:hAnsi="Georgia"/>
        <w:noProof/>
      </w:rPr>
    </w:sdtEndPr>
    <w:sdtContent>
      <w:p w:rsidR="00F07079" w:rsidRPr="00F07079" w:rsidRDefault="00F07079">
        <w:pPr>
          <w:pStyle w:val="Footer"/>
          <w:jc w:val="center"/>
          <w:rPr>
            <w:rFonts w:ascii="Georgia" w:hAnsi="Georgia"/>
          </w:rPr>
        </w:pPr>
        <w:r w:rsidRPr="00F07079">
          <w:rPr>
            <w:rFonts w:ascii="Georgia" w:hAnsi="Georgia"/>
          </w:rPr>
          <w:fldChar w:fldCharType="begin"/>
        </w:r>
        <w:r w:rsidRPr="00F07079">
          <w:rPr>
            <w:rFonts w:ascii="Georgia" w:hAnsi="Georgia"/>
          </w:rPr>
          <w:instrText xml:space="preserve"> PAGE   \* MERGEFORMAT </w:instrText>
        </w:r>
        <w:r w:rsidRPr="00F07079">
          <w:rPr>
            <w:rFonts w:ascii="Georgia" w:hAnsi="Georgia"/>
          </w:rPr>
          <w:fldChar w:fldCharType="separate"/>
        </w:r>
        <w:r w:rsidR="00720EA2">
          <w:rPr>
            <w:rFonts w:ascii="Georgia" w:hAnsi="Georgia"/>
            <w:noProof/>
          </w:rPr>
          <w:t>3</w:t>
        </w:r>
        <w:r w:rsidRPr="00F07079">
          <w:rPr>
            <w:rFonts w:ascii="Georgia" w:hAnsi="Georgia"/>
            <w:noProof/>
          </w:rPr>
          <w:fldChar w:fldCharType="end"/>
        </w:r>
      </w:p>
    </w:sdtContent>
  </w:sdt>
  <w:p w:rsidR="00F07079" w:rsidRDefault="00F07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F89" w:rsidRDefault="00775F89" w:rsidP="00A2785E">
      <w:pPr>
        <w:spacing w:after="0" w:line="240" w:lineRule="auto"/>
      </w:pPr>
      <w:r>
        <w:separator/>
      </w:r>
    </w:p>
  </w:footnote>
  <w:footnote w:type="continuationSeparator" w:id="0">
    <w:p w:rsidR="00775F89" w:rsidRDefault="00775F89" w:rsidP="00A278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06F60"/>
    <w:multiLevelType w:val="hybridMultilevel"/>
    <w:tmpl w:val="7012C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2783F"/>
    <w:multiLevelType w:val="multilevel"/>
    <w:tmpl w:val="AFFAB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D828B7"/>
    <w:multiLevelType w:val="multilevel"/>
    <w:tmpl w:val="AA5890F2"/>
    <w:lvl w:ilvl="0">
      <w:start w:val="1"/>
      <w:numFmt w:val="decimal"/>
      <w:pStyle w:val="Heading1"/>
      <w:lvlText w:val="%1."/>
      <w:lvlJc w:val="left"/>
      <w:pPr>
        <w:ind w:left="680" w:hanging="680"/>
      </w:pPr>
      <w:rPr>
        <w:rFonts w:ascii="Georgia" w:hAnsi="Georgia" w:hint="default"/>
        <w:color w:val="000000" w:themeColor="text1"/>
        <w:sz w:val="24"/>
      </w:rPr>
    </w:lvl>
    <w:lvl w:ilvl="1">
      <w:start w:val="1"/>
      <w:numFmt w:val="decimal"/>
      <w:pStyle w:val="Heading2"/>
      <w:lvlText w:val="%1.%2."/>
      <w:lvlJc w:val="left"/>
      <w:pPr>
        <w:ind w:left="680" w:hanging="680"/>
      </w:pPr>
      <w:rPr>
        <w:rFonts w:ascii="Georgia" w:hAnsi="Georgia" w:hint="default"/>
        <w:sz w:val="24"/>
      </w:rPr>
    </w:lvl>
    <w:lvl w:ilvl="2">
      <w:start w:val="1"/>
      <w:numFmt w:val="decimal"/>
      <w:pStyle w:val="Heading3"/>
      <w:lvlText w:val="%1.%2.%3."/>
      <w:lvlJc w:val="left"/>
      <w:pPr>
        <w:ind w:left="2041" w:hanging="1361"/>
      </w:pPr>
      <w:rPr>
        <w:rFonts w:ascii="Georgia" w:hAnsi="Georgia" w:hint="default"/>
        <w:sz w:val="24"/>
      </w:rPr>
    </w:lvl>
    <w:lvl w:ilvl="3">
      <w:start w:val="1"/>
      <w:numFmt w:val="lowerLetter"/>
      <w:pStyle w:val="Heading4"/>
      <w:lvlText w:val="(%4)"/>
      <w:lvlJc w:val="left"/>
      <w:pPr>
        <w:ind w:left="2720" w:hanging="679"/>
      </w:pPr>
      <w:rPr>
        <w:rFonts w:ascii="Georgia" w:hAnsi="Georgia" w:hint="default"/>
        <w:sz w:val="24"/>
      </w:rPr>
    </w:lvl>
    <w:lvl w:ilvl="4">
      <w:start w:val="1"/>
      <w:numFmt w:val="lowerRoman"/>
      <w:pStyle w:val="Heading5"/>
      <w:lvlText w:val="(%5)"/>
      <w:lvlJc w:val="left"/>
      <w:pPr>
        <w:ind w:left="3400" w:hanging="680"/>
      </w:pPr>
      <w:rPr>
        <w:rFonts w:ascii="Georgia" w:hAnsi="Georgia" w:hint="default"/>
        <w:sz w:val="24"/>
      </w:rPr>
    </w:lvl>
    <w:lvl w:ilvl="5">
      <w:start w:val="1"/>
      <w:numFmt w:val="lowerLetter"/>
      <w:pStyle w:val="Heading6"/>
      <w:lvlText w:val="(%6)"/>
      <w:lvlJc w:val="left"/>
      <w:pPr>
        <w:ind w:left="4080" w:hanging="680"/>
      </w:pPr>
      <w:rPr>
        <w:rFonts w:ascii="Georgia" w:hAnsi="Georgia" w:hint="default"/>
        <w:sz w:val="24"/>
      </w:rPr>
    </w:lvl>
    <w:lvl w:ilvl="6">
      <w:start w:val="1"/>
      <w:numFmt w:val="lowerRoman"/>
      <w:pStyle w:val="Heading7"/>
      <w:lvlText w:val="(%7)"/>
      <w:lvlJc w:val="left"/>
      <w:pPr>
        <w:ind w:left="4760" w:hanging="680"/>
      </w:pPr>
      <w:rPr>
        <w:rFonts w:ascii="Georgia" w:hAnsi="Georgia" w:hint="default"/>
        <w:sz w:val="24"/>
      </w:rPr>
    </w:lvl>
    <w:lvl w:ilvl="7">
      <w:start w:val="1"/>
      <w:numFmt w:val="lowerLetter"/>
      <w:pStyle w:val="Heading8"/>
      <w:lvlText w:val="(%8)"/>
      <w:lvlJc w:val="left"/>
      <w:pPr>
        <w:ind w:left="5440" w:hanging="680"/>
      </w:pPr>
      <w:rPr>
        <w:rFonts w:ascii="Georgia" w:hAnsi="Georgia" w:hint="default"/>
        <w:sz w:val="22"/>
      </w:rPr>
    </w:lvl>
    <w:lvl w:ilvl="8">
      <w:start w:val="1"/>
      <w:numFmt w:val="lowerRoman"/>
      <w:pStyle w:val="Heading9"/>
      <w:lvlText w:val="(%9)"/>
      <w:lvlJc w:val="left"/>
      <w:pPr>
        <w:ind w:left="6120" w:hanging="680"/>
      </w:pPr>
      <w:rPr>
        <w:rFonts w:ascii="Georgia" w:hAnsi="Georgia" w:hint="default"/>
        <w:sz w:val="24"/>
      </w:rPr>
    </w:lvl>
  </w:abstractNum>
  <w:num w:numId="1">
    <w:abstractNumId w:val="2"/>
  </w:num>
  <w:num w:numId="2">
    <w:abstractNumId w:val="0"/>
  </w:num>
  <w:num w:numId="3">
    <w:abstractNumId w:val="2"/>
  </w:num>
  <w:num w:numId="4">
    <w:abstractNumId w:val="2"/>
  </w:num>
  <w:num w:numId="5">
    <w:abstractNumId w:val="2"/>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1"/>
  </w:num>
  <w:num w:numId="10">
    <w:abstractNumId w:val="2"/>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5E"/>
    <w:rsid w:val="0009717E"/>
    <w:rsid w:val="00114191"/>
    <w:rsid w:val="00121A21"/>
    <w:rsid w:val="001C0908"/>
    <w:rsid w:val="001D37EC"/>
    <w:rsid w:val="001D7A44"/>
    <w:rsid w:val="001F106B"/>
    <w:rsid w:val="00206CFF"/>
    <w:rsid w:val="002250A1"/>
    <w:rsid w:val="00252C86"/>
    <w:rsid w:val="00286FBB"/>
    <w:rsid w:val="00337D95"/>
    <w:rsid w:val="00421528"/>
    <w:rsid w:val="00493F4B"/>
    <w:rsid w:val="004B2D97"/>
    <w:rsid w:val="004F37DD"/>
    <w:rsid w:val="00564A83"/>
    <w:rsid w:val="00577792"/>
    <w:rsid w:val="0058476F"/>
    <w:rsid w:val="00595C0C"/>
    <w:rsid w:val="005E0B0E"/>
    <w:rsid w:val="0069691F"/>
    <w:rsid w:val="006B015F"/>
    <w:rsid w:val="006E456B"/>
    <w:rsid w:val="00711661"/>
    <w:rsid w:val="00720EA2"/>
    <w:rsid w:val="007369E4"/>
    <w:rsid w:val="0074378E"/>
    <w:rsid w:val="00766F41"/>
    <w:rsid w:val="00775F89"/>
    <w:rsid w:val="007E44CA"/>
    <w:rsid w:val="008109CC"/>
    <w:rsid w:val="00811565"/>
    <w:rsid w:val="008233CA"/>
    <w:rsid w:val="00840861"/>
    <w:rsid w:val="00936F9A"/>
    <w:rsid w:val="00980767"/>
    <w:rsid w:val="009A263A"/>
    <w:rsid w:val="009B72AC"/>
    <w:rsid w:val="009C0C54"/>
    <w:rsid w:val="009D0133"/>
    <w:rsid w:val="00A2785E"/>
    <w:rsid w:val="00A63BCF"/>
    <w:rsid w:val="00A9493F"/>
    <w:rsid w:val="00B83C7E"/>
    <w:rsid w:val="00B947FD"/>
    <w:rsid w:val="00BA71F7"/>
    <w:rsid w:val="00C90D0F"/>
    <w:rsid w:val="00CA1489"/>
    <w:rsid w:val="00CC37D5"/>
    <w:rsid w:val="00D20662"/>
    <w:rsid w:val="00D30714"/>
    <w:rsid w:val="00DB2C81"/>
    <w:rsid w:val="00DF35B1"/>
    <w:rsid w:val="00E45889"/>
    <w:rsid w:val="00F07079"/>
    <w:rsid w:val="00F34E8D"/>
    <w:rsid w:val="00FA54BC"/>
    <w:rsid w:val="00FB5801"/>
    <w:rsid w:val="00FF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D4CC9-3954-4646-83A0-6C5A8D93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
    <w:next w:val="Normal"/>
    <w:link w:val="Heading1Char"/>
    <w:uiPriority w:val="9"/>
    <w:qFormat/>
    <w:rsid w:val="00A2785E"/>
    <w:pPr>
      <w:keepNext/>
      <w:keepLines/>
      <w:numPr>
        <w:numId w:val="3"/>
      </w:numPr>
      <w:outlineLvl w:val="0"/>
    </w:pPr>
    <w:rPr>
      <w:b/>
      <w:bCs/>
      <w:szCs w:val="28"/>
    </w:rPr>
  </w:style>
  <w:style w:type="paragraph" w:styleId="Heading2">
    <w:name w:val="heading 2"/>
    <w:basedOn w:val="Heading1"/>
    <w:next w:val="Normal"/>
    <w:link w:val="Heading2Char"/>
    <w:uiPriority w:val="9"/>
    <w:unhideWhenUsed/>
    <w:qFormat/>
    <w:rsid w:val="00A2785E"/>
    <w:pPr>
      <w:numPr>
        <w:ilvl w:val="1"/>
      </w:numPr>
      <w:outlineLvl w:val="1"/>
    </w:pPr>
    <w:rPr>
      <w:b w:val="0"/>
      <w:bCs w:val="0"/>
      <w:szCs w:val="26"/>
    </w:rPr>
  </w:style>
  <w:style w:type="paragraph" w:styleId="Heading3">
    <w:name w:val="heading 3"/>
    <w:basedOn w:val="Heading2"/>
    <w:next w:val="Normal"/>
    <w:link w:val="Heading3Char"/>
    <w:uiPriority w:val="9"/>
    <w:unhideWhenUsed/>
    <w:qFormat/>
    <w:rsid w:val="00A2785E"/>
    <w:pPr>
      <w:numPr>
        <w:ilvl w:val="2"/>
      </w:numPr>
      <w:outlineLvl w:val="2"/>
    </w:pPr>
    <w:rPr>
      <w:bCs/>
    </w:rPr>
  </w:style>
  <w:style w:type="paragraph" w:styleId="Heading4">
    <w:name w:val="heading 4"/>
    <w:basedOn w:val="Heading3"/>
    <w:next w:val="Normal"/>
    <w:link w:val="Heading4Char"/>
    <w:uiPriority w:val="9"/>
    <w:unhideWhenUsed/>
    <w:rsid w:val="00A2785E"/>
    <w:pPr>
      <w:numPr>
        <w:ilvl w:val="3"/>
      </w:numPr>
      <w:outlineLvl w:val="3"/>
    </w:pPr>
    <w:rPr>
      <w:bCs w:val="0"/>
    </w:rPr>
  </w:style>
  <w:style w:type="paragraph" w:styleId="Heading5">
    <w:name w:val="heading 5"/>
    <w:basedOn w:val="Heading4"/>
    <w:next w:val="Normal"/>
    <w:link w:val="Heading5Char"/>
    <w:uiPriority w:val="9"/>
    <w:unhideWhenUsed/>
    <w:rsid w:val="00A2785E"/>
    <w:pPr>
      <w:numPr>
        <w:ilvl w:val="4"/>
      </w:numPr>
      <w:outlineLvl w:val="4"/>
    </w:pPr>
  </w:style>
  <w:style w:type="paragraph" w:styleId="Heading6">
    <w:name w:val="heading 6"/>
    <w:basedOn w:val="Heading5"/>
    <w:next w:val="Normal"/>
    <w:link w:val="Heading6Char"/>
    <w:uiPriority w:val="9"/>
    <w:unhideWhenUsed/>
    <w:rsid w:val="00A2785E"/>
    <w:pPr>
      <w:numPr>
        <w:ilvl w:val="5"/>
      </w:numPr>
      <w:outlineLvl w:val="5"/>
    </w:pPr>
    <w:rPr>
      <w:iCs w:val="0"/>
    </w:rPr>
  </w:style>
  <w:style w:type="paragraph" w:styleId="Heading7">
    <w:name w:val="heading 7"/>
    <w:basedOn w:val="Heading6"/>
    <w:next w:val="Normal"/>
    <w:link w:val="Heading7Char"/>
    <w:uiPriority w:val="9"/>
    <w:unhideWhenUsed/>
    <w:rsid w:val="00A2785E"/>
    <w:pPr>
      <w:numPr>
        <w:ilvl w:val="6"/>
      </w:numPr>
      <w:outlineLvl w:val="6"/>
    </w:pPr>
    <w:rPr>
      <w:iCs/>
    </w:rPr>
  </w:style>
  <w:style w:type="paragraph" w:styleId="Heading8">
    <w:name w:val="heading 8"/>
    <w:basedOn w:val="Heading7"/>
    <w:next w:val="Normal"/>
    <w:link w:val="Heading8Char"/>
    <w:uiPriority w:val="9"/>
    <w:unhideWhenUsed/>
    <w:rsid w:val="00A2785E"/>
    <w:pPr>
      <w:numPr>
        <w:ilvl w:val="7"/>
      </w:numPr>
      <w:outlineLvl w:val="7"/>
    </w:pPr>
    <w:rPr>
      <w:szCs w:val="20"/>
    </w:rPr>
  </w:style>
  <w:style w:type="paragraph" w:styleId="Heading9">
    <w:name w:val="heading 9"/>
    <w:basedOn w:val="Heading8"/>
    <w:next w:val="Normal"/>
    <w:link w:val="Heading9Char"/>
    <w:uiPriority w:val="9"/>
    <w:unhideWhenUsed/>
    <w:rsid w:val="00A2785E"/>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7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7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85E"/>
  </w:style>
  <w:style w:type="paragraph" w:styleId="Footer">
    <w:name w:val="footer"/>
    <w:basedOn w:val="Normal"/>
    <w:link w:val="FooterChar"/>
    <w:uiPriority w:val="99"/>
    <w:unhideWhenUsed/>
    <w:rsid w:val="00A27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85E"/>
  </w:style>
  <w:style w:type="paragraph" w:customStyle="1" w:styleId="Body">
    <w:name w:val="Body"/>
    <w:qFormat/>
    <w:rsid w:val="00A2785E"/>
    <w:pPr>
      <w:spacing w:after="200" w:line="320" w:lineRule="exact"/>
      <w:jc w:val="both"/>
    </w:pPr>
    <w:rPr>
      <w:rFonts w:ascii="Georgia" w:eastAsiaTheme="majorEastAsia" w:hAnsi="Georgia" w:cstheme="majorBidi"/>
      <w:iCs/>
      <w:color w:val="000000" w:themeColor="text1"/>
      <w:szCs w:val="26"/>
      <w:lang w:val="en-GB"/>
    </w:rPr>
  </w:style>
  <w:style w:type="character" w:customStyle="1" w:styleId="Heading1Char">
    <w:name w:val="Heading 1 Char"/>
    <w:basedOn w:val="DefaultParagraphFont"/>
    <w:link w:val="Heading1"/>
    <w:uiPriority w:val="9"/>
    <w:rsid w:val="00A2785E"/>
    <w:rPr>
      <w:rFonts w:ascii="Georgia" w:eastAsiaTheme="majorEastAsia" w:hAnsi="Georgia" w:cstheme="majorBidi"/>
      <w:b/>
      <w:bCs/>
      <w:iCs/>
      <w:color w:val="000000" w:themeColor="text1"/>
      <w:szCs w:val="28"/>
      <w:lang w:val="en-GB"/>
    </w:rPr>
  </w:style>
  <w:style w:type="character" w:customStyle="1" w:styleId="Heading2Char">
    <w:name w:val="Heading 2 Char"/>
    <w:basedOn w:val="DefaultParagraphFont"/>
    <w:link w:val="Heading2"/>
    <w:uiPriority w:val="9"/>
    <w:rsid w:val="00A2785E"/>
    <w:rPr>
      <w:rFonts w:ascii="Georgia" w:eastAsiaTheme="majorEastAsia" w:hAnsi="Georgia" w:cstheme="majorBidi"/>
      <w:iCs/>
      <w:color w:val="000000" w:themeColor="text1"/>
      <w:szCs w:val="26"/>
      <w:lang w:val="en-GB"/>
    </w:rPr>
  </w:style>
  <w:style w:type="character" w:customStyle="1" w:styleId="Heading3Char">
    <w:name w:val="Heading 3 Char"/>
    <w:basedOn w:val="DefaultParagraphFont"/>
    <w:link w:val="Heading3"/>
    <w:uiPriority w:val="9"/>
    <w:rsid w:val="00A2785E"/>
    <w:rPr>
      <w:rFonts w:ascii="Georgia" w:eastAsiaTheme="majorEastAsia" w:hAnsi="Georgia" w:cstheme="majorBidi"/>
      <w:bCs/>
      <w:iCs/>
      <w:color w:val="000000" w:themeColor="text1"/>
      <w:szCs w:val="26"/>
      <w:lang w:val="en-GB"/>
    </w:rPr>
  </w:style>
  <w:style w:type="character" w:customStyle="1" w:styleId="Heading4Char">
    <w:name w:val="Heading 4 Char"/>
    <w:basedOn w:val="DefaultParagraphFont"/>
    <w:link w:val="Heading4"/>
    <w:uiPriority w:val="9"/>
    <w:rsid w:val="00A2785E"/>
    <w:rPr>
      <w:rFonts w:ascii="Georgia" w:eastAsiaTheme="majorEastAsia" w:hAnsi="Georgia" w:cstheme="majorBidi"/>
      <w:iCs/>
      <w:color w:val="000000" w:themeColor="text1"/>
      <w:szCs w:val="26"/>
      <w:lang w:val="en-GB"/>
    </w:rPr>
  </w:style>
  <w:style w:type="character" w:customStyle="1" w:styleId="Heading5Char">
    <w:name w:val="Heading 5 Char"/>
    <w:basedOn w:val="DefaultParagraphFont"/>
    <w:link w:val="Heading5"/>
    <w:uiPriority w:val="9"/>
    <w:rsid w:val="00A2785E"/>
    <w:rPr>
      <w:rFonts w:ascii="Georgia" w:eastAsiaTheme="majorEastAsia" w:hAnsi="Georgia" w:cstheme="majorBidi"/>
      <w:iCs/>
      <w:color w:val="000000" w:themeColor="text1"/>
      <w:szCs w:val="26"/>
      <w:lang w:val="en-GB"/>
    </w:rPr>
  </w:style>
  <w:style w:type="character" w:customStyle="1" w:styleId="Heading6Char">
    <w:name w:val="Heading 6 Char"/>
    <w:basedOn w:val="DefaultParagraphFont"/>
    <w:link w:val="Heading6"/>
    <w:uiPriority w:val="9"/>
    <w:rsid w:val="00A2785E"/>
    <w:rPr>
      <w:rFonts w:ascii="Georgia" w:eastAsiaTheme="majorEastAsia" w:hAnsi="Georgia" w:cstheme="majorBidi"/>
      <w:color w:val="000000" w:themeColor="text1"/>
      <w:szCs w:val="26"/>
      <w:lang w:val="en-GB"/>
    </w:rPr>
  </w:style>
  <w:style w:type="character" w:customStyle="1" w:styleId="Heading7Char">
    <w:name w:val="Heading 7 Char"/>
    <w:basedOn w:val="DefaultParagraphFont"/>
    <w:link w:val="Heading7"/>
    <w:uiPriority w:val="9"/>
    <w:rsid w:val="00A2785E"/>
    <w:rPr>
      <w:rFonts w:ascii="Georgia" w:eastAsiaTheme="majorEastAsia" w:hAnsi="Georgia" w:cstheme="majorBidi"/>
      <w:iCs/>
      <w:color w:val="000000" w:themeColor="text1"/>
      <w:szCs w:val="26"/>
      <w:lang w:val="en-GB"/>
    </w:rPr>
  </w:style>
  <w:style w:type="character" w:customStyle="1" w:styleId="Heading8Char">
    <w:name w:val="Heading 8 Char"/>
    <w:basedOn w:val="DefaultParagraphFont"/>
    <w:link w:val="Heading8"/>
    <w:uiPriority w:val="9"/>
    <w:rsid w:val="00A2785E"/>
    <w:rPr>
      <w:rFonts w:ascii="Georgia" w:eastAsiaTheme="majorEastAsia" w:hAnsi="Georgia" w:cstheme="majorBidi"/>
      <w:iCs/>
      <w:color w:val="000000" w:themeColor="text1"/>
      <w:szCs w:val="20"/>
      <w:lang w:val="en-GB"/>
    </w:rPr>
  </w:style>
  <w:style w:type="character" w:customStyle="1" w:styleId="Heading9Char">
    <w:name w:val="Heading 9 Char"/>
    <w:basedOn w:val="DefaultParagraphFont"/>
    <w:link w:val="Heading9"/>
    <w:uiPriority w:val="9"/>
    <w:rsid w:val="00A2785E"/>
    <w:rPr>
      <w:rFonts w:ascii="Georgia" w:eastAsiaTheme="majorEastAsia" w:hAnsi="Georgia" w:cstheme="majorBidi"/>
      <w:color w:val="000000" w:themeColor="text1"/>
      <w:szCs w:val="20"/>
      <w:lang w:val="en-GB"/>
    </w:rPr>
  </w:style>
  <w:style w:type="paragraph" w:customStyle="1" w:styleId="Body1">
    <w:name w:val="Body 1"/>
    <w:basedOn w:val="Body"/>
    <w:qFormat/>
    <w:rsid w:val="00A2785E"/>
    <w:pPr>
      <w:ind w:left="680"/>
    </w:pPr>
  </w:style>
  <w:style w:type="paragraph" w:customStyle="1" w:styleId="bodytext">
    <w:name w:val="bodytext"/>
    <w:basedOn w:val="Normal"/>
    <w:rsid w:val="008109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0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5987">
      <w:bodyDiv w:val="1"/>
      <w:marLeft w:val="0"/>
      <w:marRight w:val="0"/>
      <w:marTop w:val="0"/>
      <w:marBottom w:val="0"/>
      <w:divBdr>
        <w:top w:val="none" w:sz="0" w:space="0" w:color="auto"/>
        <w:left w:val="none" w:sz="0" w:space="0" w:color="auto"/>
        <w:bottom w:val="none" w:sz="0" w:space="0" w:color="auto"/>
        <w:right w:val="none" w:sz="0" w:space="0" w:color="auto"/>
      </w:divBdr>
      <w:divsChild>
        <w:div w:id="1224024250">
          <w:marLeft w:val="0"/>
          <w:marRight w:val="0"/>
          <w:marTop w:val="0"/>
          <w:marBottom w:val="0"/>
          <w:divBdr>
            <w:top w:val="none" w:sz="0" w:space="0" w:color="auto"/>
            <w:left w:val="none" w:sz="0" w:space="0" w:color="auto"/>
            <w:bottom w:val="none" w:sz="0" w:space="0" w:color="auto"/>
            <w:right w:val="none" w:sz="0" w:space="0" w:color="auto"/>
          </w:divBdr>
          <w:divsChild>
            <w:div w:id="887642090">
              <w:marLeft w:val="0"/>
              <w:marRight w:val="0"/>
              <w:marTop w:val="0"/>
              <w:marBottom w:val="0"/>
              <w:divBdr>
                <w:top w:val="none" w:sz="0" w:space="0" w:color="auto"/>
                <w:left w:val="none" w:sz="0" w:space="0" w:color="auto"/>
                <w:bottom w:val="none" w:sz="0" w:space="0" w:color="auto"/>
                <w:right w:val="none" w:sz="0" w:space="0" w:color="auto"/>
              </w:divBdr>
              <w:divsChild>
                <w:div w:id="1054697297">
                  <w:marLeft w:val="0"/>
                  <w:marRight w:val="0"/>
                  <w:marTop w:val="0"/>
                  <w:marBottom w:val="0"/>
                  <w:divBdr>
                    <w:top w:val="none" w:sz="0" w:space="0" w:color="auto"/>
                    <w:left w:val="none" w:sz="0" w:space="0" w:color="auto"/>
                    <w:bottom w:val="none" w:sz="0" w:space="0" w:color="auto"/>
                    <w:right w:val="none" w:sz="0" w:space="0" w:color="auto"/>
                  </w:divBdr>
                  <w:divsChild>
                    <w:div w:id="727455223">
                      <w:marLeft w:val="0"/>
                      <w:marRight w:val="0"/>
                      <w:marTop w:val="0"/>
                      <w:marBottom w:val="0"/>
                      <w:divBdr>
                        <w:top w:val="none" w:sz="0" w:space="0" w:color="auto"/>
                        <w:left w:val="none" w:sz="0" w:space="0" w:color="auto"/>
                        <w:bottom w:val="none" w:sz="0" w:space="0" w:color="auto"/>
                        <w:right w:val="none" w:sz="0" w:space="0" w:color="auto"/>
                      </w:divBdr>
                      <w:divsChild>
                        <w:div w:id="1152256182">
                          <w:marLeft w:val="0"/>
                          <w:marRight w:val="0"/>
                          <w:marTop w:val="0"/>
                          <w:marBottom w:val="0"/>
                          <w:divBdr>
                            <w:top w:val="none" w:sz="0" w:space="0" w:color="auto"/>
                            <w:left w:val="none" w:sz="0" w:space="0" w:color="auto"/>
                            <w:bottom w:val="none" w:sz="0" w:space="0" w:color="auto"/>
                            <w:right w:val="none" w:sz="0" w:space="0" w:color="auto"/>
                          </w:divBdr>
                          <w:divsChild>
                            <w:div w:id="1831628009">
                              <w:marLeft w:val="0"/>
                              <w:marRight w:val="0"/>
                              <w:marTop w:val="0"/>
                              <w:marBottom w:val="0"/>
                              <w:divBdr>
                                <w:top w:val="none" w:sz="0" w:space="0" w:color="auto"/>
                                <w:left w:val="none" w:sz="0" w:space="0" w:color="auto"/>
                                <w:bottom w:val="none" w:sz="0" w:space="0" w:color="auto"/>
                                <w:right w:val="none" w:sz="0" w:space="0" w:color="auto"/>
                              </w:divBdr>
                              <w:divsChild>
                                <w:div w:id="88236328">
                                  <w:marLeft w:val="0"/>
                                  <w:marRight w:val="0"/>
                                  <w:marTop w:val="0"/>
                                  <w:marBottom w:val="0"/>
                                  <w:divBdr>
                                    <w:top w:val="none" w:sz="0" w:space="0" w:color="auto"/>
                                    <w:left w:val="none" w:sz="0" w:space="0" w:color="auto"/>
                                    <w:bottom w:val="none" w:sz="0" w:space="0" w:color="auto"/>
                                    <w:right w:val="none" w:sz="0" w:space="0" w:color="auto"/>
                                  </w:divBdr>
                                  <w:divsChild>
                                    <w:div w:id="163711457">
                                      <w:marLeft w:val="0"/>
                                      <w:marRight w:val="0"/>
                                      <w:marTop w:val="0"/>
                                      <w:marBottom w:val="0"/>
                                      <w:divBdr>
                                        <w:top w:val="none" w:sz="0" w:space="0" w:color="auto"/>
                                        <w:left w:val="none" w:sz="0" w:space="0" w:color="auto"/>
                                        <w:bottom w:val="none" w:sz="0" w:space="0" w:color="auto"/>
                                        <w:right w:val="none" w:sz="0" w:space="0" w:color="auto"/>
                                      </w:divBdr>
                                      <w:divsChild>
                                        <w:div w:id="1389458677">
                                          <w:marLeft w:val="0"/>
                                          <w:marRight w:val="0"/>
                                          <w:marTop w:val="0"/>
                                          <w:marBottom w:val="495"/>
                                          <w:divBdr>
                                            <w:top w:val="none" w:sz="0" w:space="0" w:color="auto"/>
                                            <w:left w:val="none" w:sz="0" w:space="0" w:color="auto"/>
                                            <w:bottom w:val="none" w:sz="0" w:space="0" w:color="auto"/>
                                            <w:right w:val="none" w:sz="0" w:space="0" w:color="auto"/>
                                          </w:divBdr>
                                          <w:divsChild>
                                            <w:div w:id="11237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83731">
      <w:bodyDiv w:val="1"/>
      <w:marLeft w:val="0"/>
      <w:marRight w:val="0"/>
      <w:marTop w:val="0"/>
      <w:marBottom w:val="0"/>
      <w:divBdr>
        <w:top w:val="none" w:sz="0" w:space="0" w:color="auto"/>
        <w:left w:val="none" w:sz="0" w:space="0" w:color="auto"/>
        <w:bottom w:val="none" w:sz="0" w:space="0" w:color="auto"/>
        <w:right w:val="none" w:sz="0" w:space="0" w:color="auto"/>
      </w:divBdr>
    </w:div>
    <w:div w:id="683022433">
      <w:bodyDiv w:val="1"/>
      <w:marLeft w:val="0"/>
      <w:marRight w:val="0"/>
      <w:marTop w:val="0"/>
      <w:marBottom w:val="0"/>
      <w:divBdr>
        <w:top w:val="none" w:sz="0" w:space="0" w:color="auto"/>
        <w:left w:val="none" w:sz="0" w:space="0" w:color="auto"/>
        <w:bottom w:val="none" w:sz="0" w:space="0" w:color="auto"/>
        <w:right w:val="none" w:sz="0" w:space="0" w:color="auto"/>
      </w:divBdr>
      <w:divsChild>
        <w:div w:id="328564362">
          <w:marLeft w:val="0"/>
          <w:marRight w:val="0"/>
          <w:marTop w:val="0"/>
          <w:marBottom w:val="0"/>
          <w:divBdr>
            <w:top w:val="none" w:sz="0" w:space="0" w:color="auto"/>
            <w:left w:val="none" w:sz="0" w:space="0" w:color="auto"/>
            <w:bottom w:val="none" w:sz="0" w:space="0" w:color="auto"/>
            <w:right w:val="none" w:sz="0" w:space="0" w:color="auto"/>
          </w:divBdr>
          <w:divsChild>
            <w:div w:id="70349422">
              <w:marLeft w:val="0"/>
              <w:marRight w:val="0"/>
              <w:marTop w:val="0"/>
              <w:marBottom w:val="0"/>
              <w:divBdr>
                <w:top w:val="none" w:sz="0" w:space="0" w:color="auto"/>
                <w:left w:val="none" w:sz="0" w:space="0" w:color="auto"/>
                <w:bottom w:val="none" w:sz="0" w:space="0" w:color="auto"/>
                <w:right w:val="none" w:sz="0" w:space="0" w:color="auto"/>
              </w:divBdr>
              <w:divsChild>
                <w:div w:id="244192888">
                  <w:marLeft w:val="0"/>
                  <w:marRight w:val="0"/>
                  <w:marTop w:val="0"/>
                  <w:marBottom w:val="0"/>
                  <w:divBdr>
                    <w:top w:val="none" w:sz="0" w:space="0" w:color="auto"/>
                    <w:left w:val="none" w:sz="0" w:space="0" w:color="auto"/>
                    <w:bottom w:val="none" w:sz="0" w:space="0" w:color="auto"/>
                    <w:right w:val="none" w:sz="0" w:space="0" w:color="auto"/>
                  </w:divBdr>
                  <w:divsChild>
                    <w:div w:id="437716899">
                      <w:marLeft w:val="0"/>
                      <w:marRight w:val="0"/>
                      <w:marTop w:val="0"/>
                      <w:marBottom w:val="0"/>
                      <w:divBdr>
                        <w:top w:val="none" w:sz="0" w:space="0" w:color="auto"/>
                        <w:left w:val="none" w:sz="0" w:space="0" w:color="auto"/>
                        <w:bottom w:val="none" w:sz="0" w:space="0" w:color="auto"/>
                        <w:right w:val="none" w:sz="0" w:space="0" w:color="auto"/>
                      </w:divBdr>
                      <w:divsChild>
                        <w:div w:id="384716716">
                          <w:marLeft w:val="0"/>
                          <w:marRight w:val="0"/>
                          <w:marTop w:val="0"/>
                          <w:marBottom w:val="0"/>
                          <w:divBdr>
                            <w:top w:val="none" w:sz="0" w:space="0" w:color="auto"/>
                            <w:left w:val="none" w:sz="0" w:space="0" w:color="auto"/>
                            <w:bottom w:val="none" w:sz="0" w:space="0" w:color="auto"/>
                            <w:right w:val="none" w:sz="0" w:space="0" w:color="auto"/>
                          </w:divBdr>
                          <w:divsChild>
                            <w:div w:id="2129664312">
                              <w:marLeft w:val="0"/>
                              <w:marRight w:val="0"/>
                              <w:marTop w:val="0"/>
                              <w:marBottom w:val="0"/>
                              <w:divBdr>
                                <w:top w:val="none" w:sz="0" w:space="0" w:color="auto"/>
                                <w:left w:val="none" w:sz="0" w:space="0" w:color="auto"/>
                                <w:bottom w:val="none" w:sz="0" w:space="0" w:color="auto"/>
                                <w:right w:val="none" w:sz="0" w:space="0" w:color="auto"/>
                              </w:divBdr>
                              <w:divsChild>
                                <w:div w:id="691343041">
                                  <w:marLeft w:val="0"/>
                                  <w:marRight w:val="0"/>
                                  <w:marTop w:val="0"/>
                                  <w:marBottom w:val="0"/>
                                  <w:divBdr>
                                    <w:top w:val="none" w:sz="0" w:space="0" w:color="auto"/>
                                    <w:left w:val="none" w:sz="0" w:space="0" w:color="auto"/>
                                    <w:bottom w:val="none" w:sz="0" w:space="0" w:color="auto"/>
                                    <w:right w:val="none" w:sz="0" w:space="0" w:color="auto"/>
                                  </w:divBdr>
                                  <w:divsChild>
                                    <w:div w:id="866411781">
                                      <w:marLeft w:val="0"/>
                                      <w:marRight w:val="0"/>
                                      <w:marTop w:val="0"/>
                                      <w:marBottom w:val="0"/>
                                      <w:divBdr>
                                        <w:top w:val="none" w:sz="0" w:space="0" w:color="auto"/>
                                        <w:left w:val="none" w:sz="0" w:space="0" w:color="auto"/>
                                        <w:bottom w:val="none" w:sz="0" w:space="0" w:color="auto"/>
                                        <w:right w:val="none" w:sz="0" w:space="0" w:color="auto"/>
                                      </w:divBdr>
                                      <w:divsChild>
                                        <w:div w:id="1801875031">
                                          <w:marLeft w:val="0"/>
                                          <w:marRight w:val="0"/>
                                          <w:marTop w:val="0"/>
                                          <w:marBottom w:val="495"/>
                                          <w:divBdr>
                                            <w:top w:val="none" w:sz="0" w:space="0" w:color="auto"/>
                                            <w:left w:val="none" w:sz="0" w:space="0" w:color="auto"/>
                                            <w:bottom w:val="none" w:sz="0" w:space="0" w:color="auto"/>
                                            <w:right w:val="none" w:sz="0" w:space="0" w:color="auto"/>
                                          </w:divBdr>
                                          <w:divsChild>
                                            <w:div w:id="8275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718685">
      <w:bodyDiv w:val="1"/>
      <w:marLeft w:val="0"/>
      <w:marRight w:val="0"/>
      <w:marTop w:val="0"/>
      <w:marBottom w:val="0"/>
      <w:divBdr>
        <w:top w:val="none" w:sz="0" w:space="0" w:color="auto"/>
        <w:left w:val="none" w:sz="0" w:space="0" w:color="auto"/>
        <w:bottom w:val="none" w:sz="0" w:space="0" w:color="auto"/>
        <w:right w:val="none" w:sz="0" w:space="0" w:color="auto"/>
      </w:divBdr>
      <w:divsChild>
        <w:div w:id="485898406">
          <w:marLeft w:val="0"/>
          <w:marRight w:val="0"/>
          <w:marTop w:val="0"/>
          <w:marBottom w:val="0"/>
          <w:divBdr>
            <w:top w:val="none" w:sz="0" w:space="0" w:color="auto"/>
            <w:left w:val="none" w:sz="0" w:space="0" w:color="auto"/>
            <w:bottom w:val="none" w:sz="0" w:space="0" w:color="auto"/>
            <w:right w:val="none" w:sz="0" w:space="0" w:color="auto"/>
          </w:divBdr>
          <w:divsChild>
            <w:div w:id="925460708">
              <w:marLeft w:val="0"/>
              <w:marRight w:val="0"/>
              <w:marTop w:val="0"/>
              <w:marBottom w:val="0"/>
              <w:divBdr>
                <w:top w:val="none" w:sz="0" w:space="0" w:color="auto"/>
                <w:left w:val="none" w:sz="0" w:space="0" w:color="auto"/>
                <w:bottom w:val="none" w:sz="0" w:space="0" w:color="auto"/>
                <w:right w:val="none" w:sz="0" w:space="0" w:color="auto"/>
              </w:divBdr>
              <w:divsChild>
                <w:div w:id="1684627724">
                  <w:marLeft w:val="0"/>
                  <w:marRight w:val="0"/>
                  <w:marTop w:val="0"/>
                  <w:marBottom w:val="0"/>
                  <w:divBdr>
                    <w:top w:val="none" w:sz="0" w:space="0" w:color="auto"/>
                    <w:left w:val="none" w:sz="0" w:space="0" w:color="auto"/>
                    <w:bottom w:val="none" w:sz="0" w:space="0" w:color="auto"/>
                    <w:right w:val="none" w:sz="0" w:space="0" w:color="auto"/>
                  </w:divBdr>
                  <w:divsChild>
                    <w:div w:id="1586839022">
                      <w:marLeft w:val="0"/>
                      <w:marRight w:val="0"/>
                      <w:marTop w:val="0"/>
                      <w:marBottom w:val="0"/>
                      <w:divBdr>
                        <w:top w:val="none" w:sz="0" w:space="0" w:color="auto"/>
                        <w:left w:val="none" w:sz="0" w:space="0" w:color="auto"/>
                        <w:bottom w:val="none" w:sz="0" w:space="0" w:color="auto"/>
                        <w:right w:val="none" w:sz="0" w:space="0" w:color="auto"/>
                      </w:divBdr>
                      <w:divsChild>
                        <w:div w:id="1702625486">
                          <w:marLeft w:val="0"/>
                          <w:marRight w:val="0"/>
                          <w:marTop w:val="0"/>
                          <w:marBottom w:val="0"/>
                          <w:divBdr>
                            <w:top w:val="none" w:sz="0" w:space="0" w:color="auto"/>
                            <w:left w:val="none" w:sz="0" w:space="0" w:color="auto"/>
                            <w:bottom w:val="none" w:sz="0" w:space="0" w:color="auto"/>
                            <w:right w:val="none" w:sz="0" w:space="0" w:color="auto"/>
                          </w:divBdr>
                          <w:divsChild>
                            <w:div w:id="2095474528">
                              <w:marLeft w:val="0"/>
                              <w:marRight w:val="0"/>
                              <w:marTop w:val="0"/>
                              <w:marBottom w:val="0"/>
                              <w:divBdr>
                                <w:top w:val="none" w:sz="0" w:space="0" w:color="auto"/>
                                <w:left w:val="none" w:sz="0" w:space="0" w:color="auto"/>
                                <w:bottom w:val="none" w:sz="0" w:space="0" w:color="auto"/>
                                <w:right w:val="none" w:sz="0" w:space="0" w:color="auto"/>
                              </w:divBdr>
                              <w:divsChild>
                                <w:div w:id="1548176272">
                                  <w:marLeft w:val="0"/>
                                  <w:marRight w:val="0"/>
                                  <w:marTop w:val="0"/>
                                  <w:marBottom w:val="0"/>
                                  <w:divBdr>
                                    <w:top w:val="none" w:sz="0" w:space="0" w:color="auto"/>
                                    <w:left w:val="none" w:sz="0" w:space="0" w:color="auto"/>
                                    <w:bottom w:val="none" w:sz="0" w:space="0" w:color="auto"/>
                                    <w:right w:val="none" w:sz="0" w:space="0" w:color="auto"/>
                                  </w:divBdr>
                                  <w:divsChild>
                                    <w:div w:id="2021351056">
                                      <w:marLeft w:val="0"/>
                                      <w:marRight w:val="0"/>
                                      <w:marTop w:val="0"/>
                                      <w:marBottom w:val="0"/>
                                      <w:divBdr>
                                        <w:top w:val="none" w:sz="0" w:space="0" w:color="auto"/>
                                        <w:left w:val="none" w:sz="0" w:space="0" w:color="auto"/>
                                        <w:bottom w:val="none" w:sz="0" w:space="0" w:color="auto"/>
                                        <w:right w:val="none" w:sz="0" w:space="0" w:color="auto"/>
                                      </w:divBdr>
                                      <w:divsChild>
                                        <w:div w:id="1629894883">
                                          <w:marLeft w:val="0"/>
                                          <w:marRight w:val="0"/>
                                          <w:marTop w:val="0"/>
                                          <w:marBottom w:val="495"/>
                                          <w:divBdr>
                                            <w:top w:val="none" w:sz="0" w:space="0" w:color="auto"/>
                                            <w:left w:val="none" w:sz="0" w:space="0" w:color="auto"/>
                                            <w:bottom w:val="none" w:sz="0" w:space="0" w:color="auto"/>
                                            <w:right w:val="none" w:sz="0" w:space="0" w:color="auto"/>
                                          </w:divBdr>
                                          <w:divsChild>
                                            <w:div w:id="8331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36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1287</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Musat &amp; Asociatii</dc:creator>
  <cp:keywords/>
  <dc:description/>
  <cp:lastModifiedBy>Musat &amp; Asociatii</cp:lastModifiedBy>
  <cp:revision>9</cp:revision>
  <dcterms:created xsi:type="dcterms:W3CDTF">2019-04-25T15:00:00Z</dcterms:created>
  <dcterms:modified xsi:type="dcterms:W3CDTF">2019-04-25T15:40:00Z</dcterms:modified>
</cp:coreProperties>
</file>